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DAS/229/2016 vom 28. September 2016</w:t>
      </w:r>
    </w:p>
    <w:p>
      <w:r>
        <w:t>GE Cour de justice, 2016-09-28, FR</w:t>
      </w:r>
    </w:p>
    <w:p>
      <w:r>
        <w:rPr>
          <w:b/>
        </w:rPr>
        <w:t xml:space="preserve">Quelle: </w:t>
      </w:r>
      <w:r>
        <w:t>https://mcp.opencaselaw.ch/entscheid/ge_gerichte_DAS_229_2016</w:t>
      </w:r>
    </w:p>
    <w:p>
      <w:r>
        <w:t>FR: GE_GERICHTE DAS/229/2016 du 28 septembre 2016</w:t>
      </w:r>
    </w:p>
    <w:p>
      <w:r>
        <w:t>IT: GE_GERICHTE DAS/229/2016 del 28 settembre 2016</w:t>
      </w:r>
    </w:p>
    <w:p>
      <w:pPr>
        <w:pStyle w:val="Heading2"/>
      </w:pPr>
      <w:r>
        <w:t>Erwägungen</w:t>
      </w:r>
    </w:p>
    <w:p>
      <w:r>
        <w:rPr>
          <w:b/>
        </w:rPr>
        <w:t>E. 1.1</w:t>
      </w:r>
    </w:p>
    <w:p>
      <w:r>
        <w:t>Interjeté auprès de la Chambre de surveillance de la Cour de justice (art. 53 al. 1 LaCC), dans les délai et forme utiles (art. 450 al. 3, 450a et 450b al. 1 CC, applicables par renvoi de l'art. 314 al. 1 CC; art. 53 al. 2 LaCC) par la mère de l'enfant, qui dispose de la qualité pour recourir (art. 450 al. 2 ch. 1 CC; art. 35 let. b LaCC), à l'encontre d'une décision rendue par le Tribunal de protection en matière de protection de l'enfant et de relations personnelles (art. 450 al. 1 et 314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t>- 10/13 -</w:t>
      </w:r>
    </w:p>
    <w:p>
      <w:r>
        <w:t>C/20220/2009-CS</w:t>
      </w:r>
    </w:p>
    <w:p>
      <w:r>
        <w:rPr>
          <w:b/>
        </w:rPr>
        <w:t>E. 2</w:t>
      </w:r>
    </w:p>
    <w:p>
      <w:r>
        <w:t>La recourante conteste la décision prise par le Tribunal de protection de maintenir le placement de E______ à l'Ecole G______. Elle souhaite qu'il poursuivre sa scolarité à I______ pour l'année scolaire 2016-2017.</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w:t>
      </w:r>
    </w:p>
    <w:p>
      <w:r>
        <w:t>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2.2</w:t>
      </w:r>
    </w:p>
    <w:p>
      <w:r>
        <w:t>En l'espèce, l'enfant est exposé, depuis 2011 à tout le moins, à des violences récurrentes au domicile de sa mère, en raison d'altercations entre son père, parfois alcoolisé, et les autres membres de la famille. En novembre 2011, le SPMi relevait déjà que les conditions de vie et de développement de l'enfant étaient préoccupantes, dans la mesure où ses besoins primaires n'étaient que partiellement pris en compte, et qu'il était difficile d'évaluer les réelles compétences parentales de sa mère, en raison de son refus de mettre en pratique les remarques apportées. Elle ne suivait notamment pas les recommandations du SPMi de ne pas laisser l'enfant à son père en raison de ses problèmes de consommation de drogues et d'alcool.</w:t>
      </w:r>
    </w:p>
    <w:p>
      <w:r>
        <w:t>Par ordonnance du 12 juillet 2013, le Tribunal de protection a fixé un droit de visite au père s'exerçant hors du domicile familial et en présence de la recourante à raison de trois journées par semaine. Malgré son engagement à ne pas mettre le mineur en présence de son père en dehors des modalités prévues dans cette ordonnance, la mère de l'enfant n'était pas systématiquement présente lors de l'exercice du droit de visite, ce que le SPMi avait relevé dans son rapport du ______ 2014. De plus, en septembre 2014, la famille vivait encore dans un climat de violence, la mère de l'enfant ayant elle-même fait état de son épuisement au SPMi en raison d'altercations survenues avec son fils aîné et des intrusions permanentes du père de l'enfant qui se présentait quotidiennement ivre à son domicile pour voir celui-ci. Ces événements avaient d'ailleurs incité les parents à</w:t>
      </w:r>
    </w:p>
    <w:p>
      <w:r>
        <w:t>- 11/13 -</w:t>
      </w:r>
    </w:p>
    <w:p>
      <w:r>
        <w:t>C/20220/2009-CS accepter que l'enfant soit placé à l'Ecole G______ afin de lui permettre de poursuivre sa scolarité avec plus de sérénité.</w:t>
      </w:r>
    </w:p>
    <w:p>
      <w:r>
        <w:t>Dans sa décision du 12 novembre 2015, la Chambre de surveillance a considéré que les éléments au dossier ne permettaient pas de retenir que la situation au domicile de la recourante avait changé et qu'elle ne présentait plus aucun danger pour le développement de l'enfant. Il résultait de l'audition de la représentante du SPMi du ______ 2015 que le retour au foyer de l'enfant des week-ends passés chez sa mère était difficile, et que le mineur avait un fort besoin d'être rassuré sur les scènes de conflit auxquelles il assistait. Enfin, les expertises psychiatriques pénales du ______ 2013 faisaient état d'un haut risque de récidive de violences et de violation de son devoir d'éducation de la part de la recourante dans un contexte de stress similaire à celui qui a mené à sa mise en prévention en 2009. Il en allait de même du risque de récidive du père de l'enfant, ce risque étant accentué par la consommation de substances toxiques. D'autre part, la collaboration avec la mère de l'enfant était d'autant plus difficile qu'elle avait tendance à minimiser les violences auxquelles le mineur était exposé. Après maintes tentatives de coopération avec elle, le SPMi avait constaté, dans son rapport du ______ 2015, qu'elle était constamment animée par ses propres angoisses et ne parvenait pas à se concentrer sur les besoins et l'intérêt de l'enfant. Son incapacité à reconnaître les difficultés de celui-ci et à prendre en compte la parole de l'autre ne permettait pas un travail sur la réhabilitation des compétences parentales. Aussi, malgré l'amour qu'elle portait à son fils, la recourante ne disposait pas de capacités de protection et d'éducation suffisantes pour garantir à son fils une prise en charge saine, stable, continue et sécurisante.</w:t>
      </w:r>
    </w:p>
    <w:p>
      <w:r>
        <w:t>La Chambre de surveillance a jugé qu'il se justifiait de retirer la garde et le droit de déterminer le lieu de résidence du mineur à la mère, aucune autre mesure moins incisive n'étant suffisante pour préserver le bien-être de l'enfant. D'autre part, le maintien du placement du mineur au sein de l'Ecole G______ était approprié à ses besoins.</w:t>
      </w:r>
    </w:p>
    <w:p>
      <w:r>
        <w:rPr>
          <w:b/>
        </w:rPr>
        <w:t>E. 2.3</w:t>
      </w:r>
    </w:p>
    <w:p>
      <w:r>
        <w:t>Arguant du fait que son fils doit redoubler son année scolaire, la recourante considère qu'il faut le changer d'école et l'inscrire à l'I______, qui se trouve dans la commune de 3______. Elle ne produit toutefois aucun document qui justifierait que l'enfant change d'école. Selon le SPMi, E______ se sent bien à l'Ecole G______, environnement dans lequel il évolue de manière positive.</w:t>
      </w:r>
    </w:p>
    <w:p>
      <w:r>
        <w:t>A l'instar du Tribunal de protection, la Chambre de surveillance constate qu'il n'est pas possible de scolariser le mineur dans une école située sur la commune de 3______ dans le canton de Genève, alors qu'il est actuellement placé dans un foyer éducatif dans le canton de 2______, situé à plus d'une heure trente en voiture.</w:t>
      </w:r>
    </w:p>
    <w:p>
      <w:r>
        <w:t>- 12/13 -</w:t>
      </w:r>
    </w:p>
    <w:p>
      <w:r>
        <w:t>C/20220/2009-CS</w:t>
      </w:r>
    </w:p>
    <w:p>
      <w:r>
        <w:t>D'autre part, les foyers situés dans le canton de Genève sont tous en situation de sur-occupation, de sorte qu'il n'est objectivement pas envisageable de prévoir le retour de E______ à Genève à très court terme.</w:t>
      </w:r>
    </w:p>
    <w:p>
      <w:r>
        <w:t>Enfin et surtout, il ressort des éléments du dossier que E______ s'est bien intégré dans son nouveau lieu de vie et qu'il s'y sent en sécurité, de telle sorte qu'un changement du lieu de placement serait contre-indiqué. Le fait que le mineur doive refaire son année scolaire est insuffisant pour le changer d'école. Le maintien du placement actuel sert donc l'intérêt de l'enfant.</w:t>
      </w:r>
    </w:p>
    <w:p>
      <w:r>
        <w:t>Il en résulte que la décision du Tribunal de protection rejetant la requête formée par la recourante n'est pas critiquable. Cette décision est conforme à l'intérêt du mineur. A défaut de garanties suffisantes, le retour de celui-ci au domicile de la recourante est prématuré, référence étant faite aux raisons évoquées ci-dessus (consid. 2.2), qui sont toujours valables.</w:t>
      </w:r>
    </w:p>
    <w:p>
      <w:r>
        <w:rPr>
          <w:b/>
        </w:rPr>
        <w:t>E. 2.4</w:t>
      </w:r>
    </w:p>
    <w:p>
      <w:r>
        <w:t>Infondé, le recours sera donc rejeté et l'ordonnance entreprise entièrement confirmée.</w:t>
      </w:r>
    </w:p>
    <w:p>
      <w:r>
        <w:rPr>
          <w:b/>
        </w:rPr>
        <w:t>E. 3</w:t>
      </w:r>
    </w:p>
    <w:p>
      <w:r>
        <w:t>La procédure de recours est gratuite (art. 80 LaCC). * * * * *</w:t>
      </w:r>
    </w:p>
    <w:p>
      <w:r>
        <w:t>- 13/13 -</w:t>
      </w:r>
    </w:p>
    <w:p>
      <w:r>
        <w:t>C/20220/2009-CS PAR CES MOTIFS, La Chambre de surveillance : A la forme : Déclare recevable le recours formé le 8 août 2016 par A______ contre l'ordonnance DTAE/3837/2016 du 29 juillet 2016 rendue par le Tribunal de protection de l'adulte et de l'enfant dans la cause C/20220/2009-7. Au fond : Rejette le recours et confirme l'ordonnance entreprise. Déboute les parties de toutes autres conclusions. Sur les frais : Dit que la procédure est gratuite. Siégeant : Monsieur Cédric-Laurent MICHEL, président; Monsieur Jean-Marc STRUBIN et Madame Paola CAMPOMAGNANI, juges; Madame Carmen FRAGA, greffière.</w:t>
      </w:r>
    </w:p>
    <w:p>
      <w:r>
        <w:t>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