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DAS/225/2016 vom 15. Juli 2016</w:t>
      </w:r>
    </w:p>
    <w:p>
      <w:r>
        <w:t>GE Cour de justice, 2016-07-15, FR</w:t>
      </w:r>
    </w:p>
    <w:p>
      <w:r>
        <w:rPr>
          <w:b/>
        </w:rPr>
        <w:t xml:space="preserve">Quelle: </w:t>
      </w:r>
      <w:r>
        <w:t>https://mcp.opencaselaw.ch/entscheid/ge_gerichte_DAS_225_2016</w:t>
      </w:r>
    </w:p>
    <w:p>
      <w:r>
        <w:t>FR: GE_GERICHTE DAS/225/2016 du 15 juillet 2016</w:t>
      </w:r>
    </w:p>
    <w:p>
      <w:r>
        <w:t>IT: GE_GERICHTE DAS/225/2016 del 15 luglio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La recourante invoque une violation de son droit d'être entendue.</w:t>
      </w:r>
    </w:p>
    <w:p>
      <w:r>
        <w:t>- 9/17 -</w:t>
      </w:r>
    </w:p>
    <w:p>
      <w:r>
        <w:t>C/25148/2012-CS</w:t>
      </w:r>
    </w:p>
    <w:p>
      <w:r>
        <w:rPr>
          <w:b/>
        </w:rPr>
        <w:t>E. 2.1</w:t>
      </w:r>
    </w:p>
    <w:p>
      <w:r>
        <w:t>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w:t>
      </w:r>
    </w:p>
    <w:p>
      <w:r>
        <w:rPr>
          <w:b/>
        </w:rPr>
        <w:t>E. 2.2</w:t>
      </w:r>
    </w:p>
    <w:p>
      <w:r>
        <w:t>Dans le cas d'espèce, la recourante admet avoir reçu le rapport d'expertise une dizaine de jours avant l'audience qui s'est tenue devant le Tribunal de protection, au cours de laquelle les experts ont été entendus. Quand bien même ce rapport est long, la recourante ne saurait raisonnablement soutenir ne pas avoir été en mesure de le lire de manière approfondie et de préparer ses questions éventuelles avant l'audience. Le fait que le Tribunal de protection ait refusé, à l'issue de l'audience, de lui accorder un délai pour se prononcer par écrit ne constitue pas davantage une violation du droit d'être entendu, dans la mesure où la recourante avait pu s'exprimer librement lors de l'audience et poser toutes questions utiles. De surcroît, la recourante a pu, devant la Chambre de surveillance, faire valoir tous ses moyens, de sorte que même si son droit d'être entendue avait été violé en première instance, cette violation aurait été réparée devant l'instance de recours. Ce premier moyen est dès lors mal fondé.</w:t>
      </w:r>
    </w:p>
    <w:p>
      <w:r>
        <w:rPr>
          <w:b/>
        </w:rPr>
        <w:t>E. 3</w:t>
      </w:r>
    </w:p>
    <w:p>
      <w:r>
        <w:t>La recourante a sollicité des actes d'instruction complémentaires. L'art. 53 al. 5 LaCC prévoit qu'en principe il n'y a pas de débats devant la Chambre de surveillance. Cette dernière considère par ailleurs que le dossier est suffisamment instruit et qu'elle est en mesure de rendre une décision. S'agissant de l'apport de la procédure pénale, la Chambre de surveillance relève que celle-ci est sur le point d'être classée, ce qui signifie que le Ministère public a considéré qu'il n'y avait pas matière à poursuivre la procédure à l'encontre de B______ et à le renvoyer en jugement; son apport n'apporterait par conséquent aucun élément utile à la présente procédure. Par ailleurs, les experts ont eu connaissance des déclarations faites par E______ ayant donné lieu au dépôt d'une plainte pénale à l'encontre de son père et ont considéré qu'il ne se justifiait pas pour autant de priver ce dernier de son droit de visite, ni de le contraindre à l'exercer en milieu surveillé. L'apport de la procédure pénale en voie de</w:t>
      </w:r>
    </w:p>
    <w:p>
      <w:r>
        <w:t>- 10/17 -</w:t>
      </w:r>
    </w:p>
    <w:p>
      <w:r>
        <w:t>C/25148/2012-CS classement n'est par conséquent pas susceptible de modifier l'avis exprimé par les experts sur ce point. En ce qui concerne les demandes d'audition formulées par la recourante, il sera relevé que certains des témoins cités ont été contactés par les experts et se sont d'ores et déjà exprimés. Pour le surplus, le dossier apparaît suffisamment instruit. Il ne sera par conséquent pas donné suite à la demande de complément d'instruction formulée par la recourante et il n'y a pas lieu de déroger au principe légal.</w:t>
      </w:r>
    </w:p>
    <w:p>
      <w:r>
        <w:rPr>
          <w:b/>
        </w:rPr>
        <w:t>E. 4.1</w:t>
      </w:r>
    </w:p>
    <w:p>
      <w:r>
        <w:t>Sur le fond, la recourante a conclu à l'annulation du chiffre 3 du dispositif de la décision litigieuse, par laquelle le Tribunal de protection lui a réservé un droit de visite devant s'exercer à raison d'un week-end sur deux en alternance avec le père, ainsi que durant la moitié des vacances scolaires. La recourante ayant toutefois parallèlement conclu à l'octroi d'un droit de visite devant s'exercer à raison d'un week-end sur deux, ainsi que durant la moitié des vacances scolaires, il y a lieu de considérer que sur ce point elle a obtenu le plein de ses conclusions et que son recours, en tant qu'il concerne le chiffre 3 du dispositif de la décision attaquée, est dépourvu de tout intérêt et de toute portée.</w:t>
      </w:r>
    </w:p>
    <w:p>
      <w:r>
        <w:rPr>
          <w:b/>
        </w:rPr>
        <w:t>E. 4.2</w:t>
      </w:r>
    </w:p>
    <w:p>
      <w:r>
        <w:t>La recourante a également conclu à ce que l'élargissement de son droit de visite soit réservé, en cas de préavis positif du Service de protection des mineurs. La Chambre de surveillance ne saurait donner suite à cette conclusion, laquelle est dépourvue de toute portée pratique, dans la mesure où la recourante peut en tout temps solliciter l'élargissement de son droit de visite, si elle s'estime fondée à le faire. Au vu de ce qui précède, le chiffre 3 du dispositif de la décision attaquée sera confirmé.</w:t>
      </w:r>
    </w:p>
    <w:p>
      <w:r>
        <w:rPr>
          <w:b/>
        </w:rPr>
        <w:t>E. 5</w:t>
      </w:r>
    </w:p>
    <w:p>
      <w:r>
        <w:t>La recourante a conclu à l'annulation des chiffres 4 et 5 de l'ordonnance du 23 mai 2016 et à la suspension de la procédure jusqu'à droit jugé dans le cadre de la procédure pénale concernant B______.</w:t>
      </w:r>
    </w:p>
    <w:p>
      <w:r>
        <w:rPr>
          <w:b/>
        </w:rPr>
        <w:t>E. 5.1</w:t>
      </w:r>
    </w:p>
    <w:p>
      <w:r>
        <w:t>Le Tribunal peut ordonner la suspension de la procédure si des motifs d'opportunité le commandent. La procédure peut notamment être suspendue lorsque la décision dépend du sort d'un autre procès (art. 126 al. 1 CPC).</w:t>
      </w:r>
    </w:p>
    <w:p>
      <w:r>
        <w:rPr>
          <w:b/>
        </w:rPr>
        <w:t>E. 5.2</w:t>
      </w:r>
    </w:p>
    <w:p>
      <w:r>
        <w:t>Dans le cas d'espèce, il ne se justifie pas de suspendre la présente procédure dans l'attente de droit connu dans le cadre de la procédure pénale dirigée contre B______. En effet, le Ministère public a d'ores et déjà manifesté l'intention de classer la procédure pénale, de sorte qu'elle n'est pas susceptible d'avoir un</w:t>
      </w:r>
    </w:p>
    <w:p>
      <w:r>
        <w:t>- 11/17 -</w:t>
      </w:r>
    </w:p>
    <w:p>
      <w:r>
        <w:t>C/25148/2012-CS impact sur la présente procédure, laquelle est suffisamment instruite et en état d'être jugée. La recourante sera déboutée de ses conclusions sur ce point.</w:t>
      </w:r>
    </w:p>
    <w:p>
      <w:r>
        <w:rPr>
          <w:b/>
        </w:rPr>
        <w:t>E. 6</w:t>
      </w:r>
    </w:p>
    <w:p>
      <w:r>
        <w:t>Quand bien même la recourante a, sur le fond, uniquement conclu à la suspension de la procédure dans l'attente de droit connu au pénal, il ressort de ses écritures et des conclusions prises sur mesures provisionnelles qu'elle conteste les modalités du droit de visite accordé à B______. Compte tenu des maximes inquisitoire et d'office que la Chambre de surveillance applique, elle examinera ci-après si le droit de visite accordé au père est conforme à l'intérêt de l'enfant. 6.1.1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6.1.2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w:t>
      </w:r>
    </w:p>
    <w:p>
      <w:r>
        <w:t>- 12/17 -</w:t>
      </w:r>
    </w:p>
    <w:p>
      <w:r>
        <w:t>C/25148/2012-CS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w:t>
      </w:r>
    </w:p>
    <w:p>
      <w:r>
        <w:rPr>
          <w:b/>
        </w:rPr>
        <w:t>E. 6.2</w:t>
      </w:r>
    </w:p>
    <w:p>
      <w:r>
        <w:t>Selon ce qui ressort de la procédure, B______ a par moments été absent de Suisse, notamment en raison de son activité dans le nautisme, et a par conséquent été peu investi dans la vie de son fils, ce que la recourante lui reproche. Les relations extrêmement conflictuelles entretenues par les parties n'ont par ailleurs pas facilité l'organisation d'un droit de visite régulier et suivi en faveur du père, dont certaines options éducatives, telle la pratique du naturisme, ont pu heurter la recourante et compliquer davantage la situation. Il résulte toutefois du rapport d'expertise, étant rappelé que les experts avaient connaissance des déclarations de l'enfant ayant donné lieu au dépôt d'une plainte pénale à l'encontre du père, que ce dernier ne présente aucune pathologie ou trouble psychiatrique et que ses capacités parentales sont préservées. Selon les experts, B______ se préoccupe du bien de son fils, dont il est capable de s'occuper personnellement et d'assurer sa sécurité tant physique que psychique. Interrogés sur la pratique du naturisme, les experts ont répondu que celle-ci ne présentait pas un danger pour le développement du mineur. Quant aux allégations de l'enfant selon lesquelles son père se serait livré sur lui à des actes d'ordre sexuel, elles n'ont pas conduit les experts à préconiser une suspension des relations personnelles ou l'exercice du droit de visite en milieu surveillé. Le Ministère public pour sa part considère que le dossier ne contient pas suffisamment d'éléments pour que la procédure soit poursuivie, puisqu'il s'apprête à rendre une ordonnance de classement. Il résulte enfin du dossier que B______ exerce un droit de visite régulier depuis le mois de juin 2016, qui s'est mis en place de façon progressive et qui semble satisfaire l'enfant, selon les éducateurs du G______.</w:t>
      </w:r>
    </w:p>
    <w:p>
      <w:r>
        <w:t>- 13/17 -</w:t>
      </w:r>
    </w:p>
    <w:p>
      <w:r>
        <w:t>C/25148/2012-CS Au vu de ce qui précède, le droit de visite de B______ tel que fixé dans la décision du 23 mai 2016 paraît adéquat et conforme à l'intérêt de l'enfant. Les chiffres 4 et 5 du dispositif de la décision attaquée seront par conséquent confirmés.</w:t>
      </w:r>
    </w:p>
    <w:p>
      <w:r>
        <w:rPr>
          <w:b/>
        </w:rPr>
        <w:t>E. 6.3</w:t>
      </w:r>
    </w:p>
    <w:p>
      <w:r>
        <w:t>La Chambre de surveillance ne donnera pas suite à la conclusion de la recourante qui sollicite que les week-ends durant lesquels B______ ne pourrait pas exercer son droit de visite lui soient attribués. Le père a en effet manifesté l'intention d'exercer régulièrement son droit de visite, selon un calendrier préétabli, auquel il devra se conformer. La recourante ne saurait par conséquent partir du principe que ce calendrier ne sera pas respecté. Si néanmoins l'une ou l'autre des parties ne devait pas être en mesure, pour des circonstances indépendantes de sa volonté, d'exercer son droit de visite aux dates prévues, il conviendra de faire preuve de souplesse et de modifier le calendrier, avec l'aide du curateur.</w:t>
      </w:r>
    </w:p>
    <w:p>
      <w:r>
        <w:rPr>
          <w:b/>
        </w:rPr>
        <w:t>E. 7</w:t>
      </w:r>
    </w:p>
    <w:p>
      <w:r>
        <w:t>La recourante conteste l'attribution au père du pouvoir de prendre les décisions médicales et thérapeutiques concernant l'enfant, sa propre autorité parentale étant limitée en conséquence. Elle conclut à ce qu'un curateur soit désigné à cet effet. 7.1.1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 et d'autres droits, ainsi que la surveillance des relations personnelles (art. 308 al. 2 CC). L'autorité parentale peut être limitée en conséquence (art. 308 al. 3 CC). 7.1.2 L'autorité tutélaire doit clairement indiquer la nature et l'étendue des pouvoirs confiés au curateur. Ceux-ci dépendront des situations de mise en danger de l'enfant et de la façon jugée la plus appropriée d'y faire face (MEIER, Commentaire romand, Code civil I, PICHONNAZ/FOËX (éd.), n. 13 ad art. 308 CC). La loi ne cite, à titre exemplatif, que deux cas de pouvoirs particuliers, en réservant d'autres situations. L'art. 13 al. 2 DPMin mentionne pour sa part des pouvoirs "en rapport avec l'éducation, le traitement et la formation du mineur". Les pouvoirs en question peuvent toucher tous les domaines de la vie et de l'éducation de l'enfant. Dans le respect du principe de proportionnalité, ces pouvoirs particuliers (combinés le cas échéant avec un retrait partiel de l'autorité parentale selon l'art. 308 al. 3 CC) évitent d'avoir à retirer l'autorité parentale</w:t>
      </w:r>
    </w:p>
    <w:p>
      <w:r>
        <w:t>- 14/17 -</w:t>
      </w:r>
    </w:p>
    <w:p>
      <w:r>
        <w:t>C/25148/2012-CS dans son entier pour atteindre un but bien spécifique (MEIER, op. cit. n. 14, 24 et 25 ad art. 308). La doctrine cite notamment le cas du consentement à un acte médical (traitement, prise de sang, transfusion, opération), auquel les père et mère se refusent alors qu'il est dans l'intérêt de l'enfant (MEIER, op. cit. n. 26 ad art. 308). 7.1.3 Dans la mesure de ces pouvoirs particuliers, le curateur représente l'enfant. Ce pouvoir de représentation est concurrent à celui des père et mère; ceux-ci peuvent par conséquent contrecarrer les actes du curateur. Si un tel risque existe ou s'est déjà réalisé, l'autorité tutélaire devra expressément limiter l'autorité parentale (art. 308 al. 3 CC), en décrivant précisément les points sur lesquels les père et mère sont privés de leur pouvoir (MEIER, op. cit. n. 28 ad art. 308).</w:t>
      </w:r>
    </w:p>
    <w:p>
      <w:r>
        <w:rPr>
          <w:b/>
        </w:rPr>
        <w:t>E. 7.2</w:t>
      </w:r>
    </w:p>
    <w:p>
      <w:r>
        <w:t>Dans le cas de E______, les décisions concernant sa santé ont été essentiellement prises, jusqu'à récemment, par sa mère, laquelle assumait la prise en charge de l'enfant au quotidien. Lors de leur audition par le Tribunal de protection le 23 mai 2016, les experts ont considéré qu'A______, par son attitude, exerçait des pressions sur les équipes médicales, de manière à leur faire prendre des décisions, de sorte qu'il convenait de s'interroger sur l'opportunité d'ordonner une curatelle de soins, avec une restriction de l'autorité parentale. Sur cette base, le Tribunal de protection a considéré qu'il convenait de tenir la mère du mineur à l'écart des décisions médicales le concernant et de limiter son autorité parentale en conséquence. Le père étant également détenteur de l'autorité parentale, ces questions devaient dès lors lui être entièrement dévolues. Or, il ressort de la procédure que le père n'a été que peu investi dans le suivi médical de son fils et qu'il lui arrive en outre fréquemment de voyager, quand bien même il a allégué que tel est moins le cas actuellement. Par ailleurs, les parties entretiennent une relation hautement conflictuelle et ne partagent pas les mêmes valeurs éducatives, de sorte que le fait de confier le suivi médical de E______ à son père est de nature à exacerber le conflit. Il paraît dès lors plus judicieux, conformément aux conclusions prises sur ce point par la recourante, de confier cette tâche aux curateurs de E______, de manière à placer les deux parents sur un pied d'égalité. Se pose enfin la question de la limitation de l'autorité parentale. La Chambre de surveillance observe que quand bien même le rapport d'expertise est sévère à l'égard de la recourante, il ne ressort pas du dossier qu'elle aurait, par son comportement, entravé concrètement les thérapies dispensées à E______, dont l'évolution est aujourd'hui favorable. La prescription d'un neuroleptique à l'enfant, décidée par l'équipe médicale des HUG, ne saurait en particulier être reprochée à la recourante. Il ressort en outre du dossier qu'alors que la recourante souhaitait retirer son fils du G______, contre l'avis des experts, elle s'est</w:t>
      </w:r>
    </w:p>
    <w:p>
      <w:r>
        <w:t>- 15/17 -</w:t>
      </w:r>
    </w:p>
    <w:p>
      <w:r>
        <w:t>C/25148/2012-CS finalement ralliée à leur position et a décidé de le laisser poursuivre son séjour dans ce foyer, ce qui atteste du fait qu'elle est en mesure de collaborer avec les institutions, dans l'intérêt de son enfant. Quant à B______, la procédure ne permet pas d'établir qu'il aurait, à un moment ou à un autre, pris des décisions contraires au bien de E______. La Chambre de surveillance renoncera par conséquent à limiter l'autorité parentale des deux parents, étant précisé que cette question pourra être réexaminée en tout temps s'il devait s'avérer que l'un ou l'autre parent entendait contrecarrer les décisions du curateur. Le chiffre 6 du dispositif de la décision attaquée sera par conséquent annulé et une curatelle portant sur la prise des décisions médicales et thérapeutiques et le suivi de celles-ci, y compris sur le plan financier, sera instaurée, le mandat des curateurs étant étendu en conséquence.</w:t>
      </w:r>
    </w:p>
    <w:p>
      <w:r>
        <w:rPr>
          <w:b/>
        </w:rPr>
        <w:t>E. 7.3</w:t>
      </w:r>
    </w:p>
    <w:p>
      <w:r>
        <w:t>La recourante a également conclu à l'instauration d'une curatelle portant sur toutes les décisions concernant la scolarité de E______. Il appert toutefois que cette question n'a pas été soumise au Tribunal de protection et ne fait pas l'objet de la décision litigieuse, de sorte que la Chambre de surveillance ne saurait statuer sur ce point.</w:t>
      </w:r>
    </w:p>
    <w:p>
      <w:r>
        <w:rPr>
          <w:b/>
        </w:rPr>
        <w:t>E. 8</w:t>
      </w:r>
    </w:p>
    <w:p>
      <w:r>
        <w:t>La cause ayant été jugée au fond, il n'y a plus de place pour le prononcé de mesures provisionnelles, dont la nécessité n'a au demeurant pas été démontrée.</w:t>
      </w:r>
    </w:p>
    <w:p>
      <w:r>
        <w:rPr>
          <w:b/>
        </w:rPr>
        <w:t>E. 9</w:t>
      </w:r>
    </w:p>
    <w:p>
      <w:r>
        <w:t>La procédure, qui porte pour l'essentiel sur la question des relations personnelles, n'est pas gratuite (art. 19 LaCC et 67B du Règlement fixant le tarif des frais en matière civile). Les frais judiciaires seront fixés à 600 fr. et seront supportés à hauteur de 400 fr. par la recourante, qui succombe pour l'essentiel au fond, ainsi que sur sa requête de restitution de l'effet suspensif et à concurrence de 200 fr. par B______, qui n'a pas obtenu le plein de ses conclusions. Les frais judiciaires seront compensés à hauteur de 400 fr. avec l'avance de frais de même montant fournie par la recourante, cette avance étant acquise à l'Etat (art. 111 al. 1 CPC). B______ sera pour sa part condamné à verser à l'Etat de Genève, soit pour lui les Services financiers du Pouvoir judiciaire, la somme de 200 fr.</w:t>
      </w:r>
    </w:p>
    <w:p>
      <w:r>
        <w:t>Compte tenu de la nature du litige, chaque partie supportera ses propres dépens (art. 107 al. 1 let. c CPC). * * * * *</w:t>
      </w:r>
    </w:p>
    <w:p>
      <w:r>
        <w:t>- 16/17 -</w:t>
      </w:r>
    </w:p>
    <w:p>
      <w:r>
        <w:t>C/25148/2012-CS PAR CES MOTIFS, La Chambre de surveillance : A la forme : Déclare recevable le recours formé le 15 juillet 2016 par A______ contre les chiffres 3, 4, 5 et 6 du dispositif de l'ordonnance DTAE/2980/2016 du 23 mai 2016 rendue par le Tribunal de protection de l'adulte et de l'enfant dans la cause C/25148/2012-7. Au fond : Annule le chiffre 6 de ladite ordonnance et cela fait : Instaure une curatelle portant sur la prise des décisions médicales et thérapeutiques concernant le mineur E______, né le ______ 2009 et le suivi de celles-ci, y compris sur le plan financier. Etend le mandat des curateurs en conséquence. Confirme pour le surplus la décision attaquée. Sur les frais : Arrête les frais judiciaires de recours à 600 fr. et les compense à hauteur de 400 fr. avec l'avance de frais versée par A______, qui reste acquise à l'Etat. Met les frais judiciaires à la charge d'A______ à hauteur de 400 fr. et de B______ à hauteur de 200 fr. Condamne en conséquence B______ à verser à l'Etat de Genève, soit pour lui les Services financiers du Pouvoir judiciaire, la somme de 200 fr. Dit que chaque partie supporte ses propres dépens. Siégeant : Monsieur Cédric-Laurent MICHEL, président; Mesdames Paola CAMPOMAGNANI et Ursula ZEHETBAUER GHAVAMI, juges; Madame Carmen FRAGA, greffière.</w:t>
      </w:r>
    </w:p>
    <w:p>
      <w:r>
        <w:t>- 17/17 -</w:t>
      </w:r>
    </w:p>
    <w:p>
      <w:r>
        <w:t>C/25148/2012-CS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