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DAS/21/2026 vom 20. Januar 2025</w:t>
      </w:r>
    </w:p>
    <w:p>
      <w:r>
        <w:t>GE Cour de justice, 2025-01-20, FR</w:t>
      </w:r>
    </w:p>
    <w:p>
      <w:r>
        <w:rPr>
          <w:b/>
        </w:rPr>
        <w:t xml:space="preserve">Quelle: </w:t>
      </w:r>
      <w:r>
        <w:t>https://mcp.opencaselaw.ch/entscheid/ge_gerichte_DAS_21_2026</w:t>
      </w:r>
    </w:p>
    <w:p>
      <w:r>
        <w:t>FR: GE_GERICHTE DAS/21/2026 du 20 janvier 2025</w:t>
      </w:r>
    </w:p>
    <w:p>
      <w:r>
        <w:t>IT: GE_GERICHTE DAS/21/2026 del 20 gennaio 2025</w:t>
      </w:r>
    </w:p>
    <w:p>
      <w:pPr>
        <w:pStyle w:val="Heading2"/>
      </w:pPr>
      <w:r>
        <w:t>Erwägungen</w:t>
      </w:r>
    </w:p>
    <w:p>
      <w:r>
        <w:rPr>
          <w:b/>
        </w:rPr>
        <w:t>E. 1</w:t>
      </w:r>
    </w:p>
    <w:p>
      <w:r>
        <w:t>1.1.1 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et interjeté par écrit auprès du juge (art. 450 al. 3 CC). 1.1.2 Interjeté en temps utile et selon la forme prescrite, par la personne concernée par la mesure de protection prononcée, représentée par son curateur d’office, le recours est recevable.</w:t>
      </w:r>
    </w:p>
    <w:p>
      <w:r>
        <w:rPr>
          <w:b/>
        </w:rPr>
        <w:t>E. 1.2</w:t>
      </w:r>
    </w:p>
    <w:p>
      <w:r>
        <w:t>La Chambre de céans établit les faits d'office, applique le droit d'office et n'est pas liée par les conclusions des parties (art. 446 CC).</w:t>
      </w:r>
    </w:p>
    <w:p>
      <w:r>
        <w:rPr>
          <w:b/>
        </w:rPr>
        <w:t>E. 2</w:t>
      </w:r>
    </w:p>
    <w:p>
      <w:r>
        <w:t>2.1.1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subsidiarité (…) . Cela signifie que lorsqu’elle reçoit un avis de mise en danger, l’autorité doit procéder à une instruction complète et différenciée lui permettant de déterminer si une mesure s’impose et, dans l’affirmative, quelle mesure en particulier (HÄFFELI, CommFam Protection de l’adulte, ad art. 389 CC, n. 10 et 11). Une mesure de protection de l'adulte n'est ordonnée par l'autorité que si elle est nécessaire et appropriée (art. 389 al. 2 CC). 2.1.2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t>- 9/11 -</w:t>
      </w:r>
    </w:p>
    <w:p>
      <w:r>
        <w:t>C/17593/2023-CS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w:t>
      </w:r>
    </w:p>
    <w:p>
      <w:r>
        <w:rPr>
          <w:b/>
        </w:rPr>
        <w:t>E. 2.2</w:t>
      </w:r>
    </w:p>
    <w:p>
      <w:r>
        <w:t>En l’espèce, il ressort de la procédure que le recourant souffre d’une dépendance aux opioïdes et aux benzodiazépines, associée à un trouble de l’usage de l’alcool et à un trouble anxieux-dépressif, avec des manifestations cognitives, notamment des oublis, ce qu’il ne conteste pas. Le recourant soutient que ces problèmes ne l’empêcheraient pas de gérer de manière convenable ses affaires administratives, juridiques et financières, puisqu’il s’en est occupé par le passé, sans être au bénéfice d’une mesure de curatelle, et alors même que ces troubles étaient déjà diagnostiqués. Le dossier démontre au contraire que le recourant ne parvenait pas, même avec l’aide de l’Hospice général et de sa mère, à préserver ses intérêts, puisqu’il a accumulé de nombreuses dettes et ne collaborait pas avec son assistante sociale pour assainir sa situation, effectuer des démarches administratives nécessaires ou trouver un logement pérenne. Les hospitalisations du recourant, contrairement à ce qu’il prétend, ne sont pas seules responsables de ce manque de collaboration, puisque, même en l’absence de toute hospitalisation, il ne s’est pas mobilisé pour régler ses problèmes administratifs et financiers ou fournir à son assistante sociale les documents dont elle avait besoin pour lui venir en aide, et ce alors même qu’il en avait pris l’engagement en audience devant le Tribunal de protection. Bien que la situation médicale du recourant se soit quelque peu améliorée, sans doute au bénéfice des susdites hospitalisations, il ne parvient toujours pas à gérer seul ses affaires financières et administratives. Contrairement à ce qu’il prétend dans son recours, il n’a pas finalisé la demande de logement auprès du Secrétariat des Fondations immobilières de Droit public. Ce sont les curatrices de la mesure prononcée, qui sont entrées en fonction immédiatement, qui ont parachevé cette inscription et fait parvenir en urgence les pièces complémentaires sollicitées par cette structure, afin que le recourant puisse être inscrit sur une liste d’attente pour bénéficier d’un logement pérenne à terme. De même, elles ont assisté leur protégé, avec l’aide de sa mère, afin qu’il puisse intégrer temporairement le foyer L______ à sa sortie d’hospitalisation. Elles ont également permis un abattement du coût des multiples contraventions accumulées par celui-ci, effectué des démarches afin d’obtenir une aide financière pour les régler et entrepris de régulariser sa situation auprès de l’administration fiscale. Si certes le recourant collabore dorénavant avec les curatrices de l’OPAd, ce qui n’était pas le cas avec les assistantes sociales de l’Hospice général, il n’est pas capable de s’occuper seul de ses affaires administratives, juridiques et financières, ni de son bien-être, notamment en terme</w:t>
      </w:r>
    </w:p>
    <w:p>
      <w:r>
        <w:t>- 10/11 -</w:t>
      </w:r>
    </w:p>
    <w:p>
      <w:r>
        <w:t>C/17593/2023-CS de recherche de logement, ce que confirment tant les curatrices qui ont débuté leur activité, que le Dr I______ de la consultation CAAP/G______, qui a confirmé que les troubles du recourant avaient un impact sur sa capacité à gérer ses affaires administratives et financières. L’aide apportée précédemment au recourant par l’Hospice général et sa mère n’a pas été suffisante. Si sa mère semble, depuis l’instauration de la mesure, très présente et soutenante à ses côtés, notamment au niveau médical, elle ne parvenait pas, auparavant, à aider suffisamment son fils et l’appui des curatrices lui permet dorénavant de mieux entourer celui-ci. Ainsi, l’intégration au foyer L______ n’avait pas été possible avant le prononcé d’une mesure de protection et le dépôt d’une demande auprès de l’assurance-invalidité, laquelle nécessite l’accès au dossier médical, doit encore être effectuée. Ainsi, la mesure de curatelle instituée apparaît proportionnée et conforme aux besoins du recourant. Elle s’avère d’ores et déjà bénéfique, au vu des tâches accomplies par les curatrices en faveur du concerné. Le recours sera rejeté et l’ordonnance entièrement confirmée.</w:t>
      </w:r>
    </w:p>
    <w:p>
      <w:r>
        <w:rPr>
          <w:b/>
        </w:rPr>
        <w:t>E. 3</w:t>
      </w:r>
    </w:p>
    <w:p>
      <w:r>
        <w:t>Les frais de recours, arrêtés à 400 fr., seront mis à la charge du recourant qui succombe, et laissés provisoirement à la charge de l’Etat, le recourant étant au bénéfice de l’assistance judiciaire.</w:t>
      </w:r>
    </w:p>
    <w:p>
      <w:r>
        <w:t>* * * * *</w:t>
      </w:r>
    </w:p>
    <w:p>
      <w:r>
        <w:t>- 11/11 -</w:t>
      </w:r>
    </w:p>
    <w:p>
      <w:r>
        <w:t>C/17593/2023-CS PAR CES MOTIFS, La Chambre de surveillance :</w:t>
      </w:r>
    </w:p>
    <w:p>
      <w:r>
        <w:t>A la forme : Déclare recevable le recours formé le 20 janvier 2025 par A______ contre l’ordonnance DTAE/9240/2024 rendue le 20 novembre 2024 par le Tribunal de protection de l’adulte et de l’enfant dans la cause C/17593/2023. Au fond : Le rejette. Sur les frais : Arrête les frais de recours à 400 fr., les met à la charge de A______ et les laisse provisoirement à la charge de l’Etat de Genève. Siégeant : Madame Jocelyne DEVILLE-CHAVANNE, présidente; Monsieur Cédric-Laurent MICHEL et Madame Paola CAMPOMAGNANI, juges; Madame Jessica QUINODOZ ,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