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DAS/21/2021 vom 12. November 2019</w:t>
      </w:r>
    </w:p>
    <w:p>
      <w:r>
        <w:t>GE Cour de justice, 2019-11-12, FR</w:t>
      </w:r>
    </w:p>
    <w:p>
      <w:r>
        <w:rPr>
          <w:b/>
        </w:rPr>
        <w:t xml:space="preserve">Quelle: </w:t>
      </w:r>
      <w:r>
        <w:t>https://mcp.opencaselaw.ch/entscheid/ge_gerichte_DAS_21_2021</w:t>
      </w:r>
    </w:p>
    <w:p>
      <w:r>
        <w:t>FR: GE_GERICHTE DAS/21/2021 du 12 novembre 2019</w:t>
      </w:r>
    </w:p>
    <w:p>
      <w:r>
        <w:t>IT: GE_GERICHTE DAS/21/2021 del 12 novembre 2019</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- 9/14 -</w:t>
      </w:r>
    </w:p>
    <w:p>
      <w:r>
        <w:t>C/13991/2015-CS</w:t>
      </w:r>
    </w:p>
    <w:p>
      <w:r>
        <w:rPr>
          <w:b/>
        </w:rPr>
        <w:t>E. 2</w:t>
      </w:r>
    </w:p>
    <w:p>
      <w:r>
        <w:t>2.1.1 L'enfant est soumis, pendant sa minorité, à l'autorité parentale conjointe de ses père et mère (art. 296 al. 2 CC, entré en vigueur le 1er juillet 2014). L'autorité parentale inclut le droit de déterminer le lieu de résidence de l'enfant (art. 301a al. 1 CC). Lorsqu'elle statue sur l'autorité parentale, l'autorité de protection de l'enfant règle également les autres points litigieux. L'action alimentaire est réservée (art. 298b al. 3 CC). 2.1.2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5C_63/2005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5C_63/2005 précité consid. 2; 5C_32/2007 du 10 mai 2007 consid. 4.1).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 7 avril 2017 consid. 3.3.1; 5A_376/2016 du 1er décembre 2016 consid. 3.1). 2.1.3 L'instauration d'une garde alternée s'inscrit dans le cadre de l'exercice conjoint de l'autorité parentale; la garde alternée est la situation dans laquelle les parents exercent en commun l'autorité parentale, mais prennent en charge l'enfant</w:t>
      </w:r>
    </w:p>
    <w:p>
      <w:r>
        <w:t>- 10/14 -</w:t>
      </w:r>
    </w:p>
    <w:p>
      <w:r>
        <w:t>C/13991/2015-CS de manière alternée pour des périodes plus ou moins égales (arrêts 5A_928/2014 du 26 février 2015 consid. 4.2; 5A_345/2014 du 4 août 2014 consid. 4.2; 5A_866/2013 du 15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2.1.4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2.2</w:t>
      </w:r>
    </w:p>
    <w:p>
      <w:r>
        <w:t>Dans le cas d'espèce, le Tribunal de protection a instauré l'autorité parentale conjointe sur le mineur E______ par ordonnance du 28 juillet 2016. A cette occasion, alors que le père sollicitait déjà une garde partagée sur son fils, les parents se sont mis d'accord pour que la garde de fait du mineur soit exercée par sa mère et que le droit de visite soit pratiqué par le père tel que proposé par le Service de protection des mineurs, de sorte que le Tribunal de protection a avisé les parties de ce qu'il ne statuerait pas sur ces questions. Les parents du mineur ont ainsi appliqué les modalités convenues entre eux, le père exerçant un droit de visite sur le mineur chaque semaine du jeudi dès la sortie de l'école au vendredi retour à l'école, un week-end sur deux, du vendredi dès la sortie de l'école au lundi retour à l'école, ainsi que durant la moitié des vacances scolaires, puis les ont élargies, à une date indéterminée, en incluant la prise en charge du mineur dès le jeudi soir lorsque le père exerçait le droit de visite le week-end. Les parties ne remettent pas en cause l'autorité parentale instaurée mais le recourant a sollicité de nouveau, en date du 8 avril 2019, l'instauration d'une garde alternée sur son fils, alléguant qu'il disposait dorénavant des conditions d'accueil nécessaires et d'une situation professionnelle permettant ce mode de garde. Si le Tribunal de protection, à l'instar du SPMi, a adhéré à cette position, considérant qu'une garde alternée pouvait être mise en place au motif que le père disposait</w:t>
      </w:r>
    </w:p>
    <w:p>
      <w:r>
        <w:t>- 11/14 -</w:t>
      </w:r>
    </w:p>
    <w:p>
      <w:r>
        <w:t>C/13991/2015-CS dorénavant de bonnes conditions d'accueil, de sécurité et de disponibilité pour son fils, il n'a pas exposé en quoi l'intérêt du mineur justifierait une modification de sa prise en charge actuelle. La Cour observe que le mineur se porte bien et que le droit de visite exercé, régulier et récemment élargi, lui permet de développer un lien fort avec son père. Il n'existe dès lors, à teneur du dossier, aucune nécessité de modifier, dans l'intérêt du mineur, la prise en charge actuelle de celui-ci, ce d'autant que les parents ne parviennent pas à communiquer de manière satisfaisante au sujet de leur fils, échangeant uniquement par courriel et SMS. Par ailleurs, la Cour, contrairement au Tribunal de protection, considère que la situation professionnelle et de logement du père est loin d'être pérenne dès lors que, d'une part, ce dernier n'a évoqué qu'un projet de travail, pour le moins flou qui ne permet pas de déterminer quelles seront ses disponibilités effectives pour son fils et, que d'autre part, il vit dans un appartement en colocation avec sept autres personnes. A cet égard, le Tribunal de protection n'a pas exposé en quoi une garde partagée en milieu communautaire serait bénéfique au bon développement de l'enfant, âgé de 10 ans, ce dont il est permis de douter. L'enfant a trouvé un équilibre, lequel est cependant fragile aux dires même de son enseignant, et a été mis au bénéfice d'une psychothérapie individuelle afin de l'aider notamment à gérer le conflit de loyauté dans lequel il se trouve. Il convient en l'état, dans l'intérêt du mineur, de privilégier la stabilité de la situation actuelle, sans intégrer de nouveaux changements qui seraient susceptibles de le perturber, le mineur commençant à évoluer favorablement mais étant encore en proie à diverses difficultés, étant précisé que le droit de visite du père a été récemment élargi d'entente entre les parents et qu'il permet au père et au fils d'entretenir des relations privilégiées. Les chiffres 1 et 2 du dispositif de l'ordonnance contestée seront donc annulés. Le droit de garde et de visite sur le mineur n'ayant cependant jamais été fixés judiciairement, le Tribunal de protection ayant refusé d'entériner l'accord des parties en 2016, il convient, dans l'intérêt de l'enfant, de préciser les modalités de sa prise en charge. La garde du mineur E______ sera ainsi attribuée à sa mère et le droit de visite du père sera fixé, tel qu'il est pratiqué actuellement, soit alternativement, une semaine du jeudi dès la sortie de l'école au vendredi retour à l'école, et la semaine suivante, du jeudi dès la sortie de l'école au lundi suivant retour à l'école, ainsi que durant la moitié des vacances scolaires selon les modalités fixées au chiffre 3 du dispositif de l'ordonnance, non remis en cause par les parties et conforme à l'intérêt du mineur.</w:t>
      </w:r>
    </w:p>
    <w:p>
      <w:r>
        <w:rPr>
          <w:b/>
        </w:rPr>
        <w:t>E. 3</w:t>
      </w:r>
    </w:p>
    <w:p>
      <w:r>
        <w:t>Les frais judiciaires de la procédure de recours, arrêtés à 400 fr., seront mis à la charge de B______, qui succombe, et compensés avec l'avance de frais effectuée par la recourante, qui reste acquise à l'Etat de Genève. B______ sera ainsi condamné à verser à A______ la somme de 400 fr.</w:t>
      </w:r>
    </w:p>
    <w:p>
      <w:r>
        <w:t>Il ne sera pas alloué de dépens.</w:t>
      </w:r>
    </w:p>
    <w:p>
      <w:r>
        <w:t>- 12/14 -</w:t>
      </w:r>
    </w:p>
    <w:p>
      <w:r>
        <w:t>C/13991/2015-CS * * * * *</w:t>
      </w:r>
    </w:p>
    <w:p>
      <w:r>
        <w:t>- 13/14 -</w:t>
      </w:r>
    </w:p>
    <w:p>
      <w:r>
        <w:t>C/13991/2015-CS</w:t>
      </w:r>
    </w:p>
    <w:p>
      <w:r>
        <w:t>PAR CES MOTIFS, La Chambre de surveillance :</w:t>
      </w:r>
    </w:p>
    <w:p>
      <w:r>
        <w:t>A la forme : Déclare recevable le recours formé le 11 mars 2020 par A______ contre les chiffres 1 et 2 du dispositif de l'ordonnance DTAE/7996/2019 du 12 novembre 2019 rendue par le Tribunal de protection de l'adulte et de l'enfant dans la cause C/13991/2015. Au fond : L'admet. Annule les chiffres 1 et 2 du dispositif de l'ordonnance. Cela fait: Attribue la garde du mineur E______, né le ______ 2010, à sa mère A______. Réserve à B______ un droit de visite sur le mineur E______, qui s'exercera sauf accord contraire des parents, alternativement, une semaine du jeudi dès la sortie de l'école au vendredi à la reprise de l'école, et la semaine suivante du jeudi dès la sortie de l'école au lundi dès la reprise de l'école, de même que durant la moitié des vacances scolaires, selon la répartition établie au chiffre 3 du dispositif de l'ordonnance DTAE/7996/2019 du 12 novembre 2019. Confirme pour le surplus l'ordonnance du 12 novembre 2019. Sur les frais: Arrête les frais judiciaires de recours à 400 fr., les met à la charge de B______ et les compense avec l'avance effectuée par A______, laquelle reste acquise à l'Etat de Genève. Condamne, en conséquence, B______ à verser à A______ la somme de 400 fr. Dit qu'il n'est pas alloué de dépens. Siégeant : Monsieur Cédric-Laurent MICHEL, président; Mesdames Paola CAMPOMAGNANI et Jocelyne DEVILLE-CHAVANNE, juges; Madame Jessica QUINODOZ, greffière.</w:t>
      </w:r>
    </w:p>
    <w:p>
      <w:r>
        <w:t>- 14/14 -</w:t>
      </w:r>
    </w:p>
    <w:p>
      <w:r>
        <w:t>C/13991/2015-CS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