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DAS/219/2022 vom 22. April 2022</w:t>
      </w:r>
    </w:p>
    <w:p>
      <w:r>
        <w:t>GE Cour de justice, 2022-04-22, FR</w:t>
      </w:r>
    </w:p>
    <w:p>
      <w:r>
        <w:rPr>
          <w:b/>
        </w:rPr>
        <w:t xml:space="preserve">Quelle: </w:t>
      </w:r>
      <w:r>
        <w:t>https://mcp.opencaselaw.ch/entscheid/ge_gerichte_DAS_219_2022</w:t>
      </w:r>
    </w:p>
    <w:p>
      <w:r>
        <w:t>FR: GE_GERICHTE DAS/219/2022 du 22 avril 2022</w:t>
      </w:r>
    </w:p>
    <w:p>
      <w:r>
        <w:t>IT: GE_GERICHTE DAS/219/2022 del 22 aprile 2022</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la mère des mineurs concernés par la mesure, dans le délai utile de trente jours et suivant la forme prescrite, le recours est recevable (art. 450 al. 2 et</w:t>
      </w:r>
    </w:p>
    <w:p>
      <w:r>
        <w:rPr>
          <w:b/>
        </w:rPr>
        <w:t>E. 1.2</w:t>
      </w:r>
    </w:p>
    <w:p>
      <w:r>
        <w:t>Compte tenu de la matière, soumise aux maximes inquisitoire et d'office illimitée, la cognition de la Chambre de surveillance est complète. Elle n'est pas liée par les conclusions des parties (art. 446 CC). 2. La recourante a invoqué la violation de son droit d'être entendue, du fait du défaut allégué de motivation de l'ordonnance attaquée. 2.1 Garanti aux art. 29 al. 2 Cst et 53 CPC, le droit d'être entendu impose notamment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w:t>
      </w:r>
    </w:p>
    <w:p>
      <w:r>
        <w:t>- 4/6 -</w:t>
      </w:r>
    </w:p>
    <w:p>
      <w:r>
        <w:t>C/5023/2022-CS les arguments soulevés par les parties, mais peut se limiter à ceux qui lui apparaissent pertinents (ATF 137 II 266 consid. 3.2; 136 I 229 consid. 5.2). Le droit d'être entendu est une garantie de nature formelle, dont la violation entraîne l'annulation de la décision attaquée, sans égard aux chances de succès du recours sur le fond (ATF 137 I 195 consid. 2.2). Toutefois, une violation pas particulièrement grave du droit d'être entendu peut exceptionnellement être réparée si l'intéressé peut s'exprimer devant une instance de recours ayant libre pouvoir d'examen en fait et en droit. Ce moyen doit être examiné avec un plein pouvoir d'examen (arrêt du Tribunal fédéral 5A_540/2013 du 3 décembre 2013 consid. 3.3.1; ATF 127 III 193 consid. 3).</w:t>
      </w:r>
    </w:p>
    <w:p>
      <w:r>
        <w:t>2.2 En l'espèce, l'ordonnance attaquée ne consacre aucune violation du droit de la recourante à la motivation. Celle-ci l'a d'ailleurs parfaitement comprise en développant les arguments qu'elle soulève dans son recours. Le Tribunal de protection a mentionné la procédure pénale ouverte contre les parents justifiant qu'il soit retenu un potentiel conflit d'intérêts entre les parents et les enfants. S'agissant de la désignation pour ladite procédure d'un curateur de représentation aux mineurs, la motivation de l'ordonnance est parfaitement suffisante. Ce premier grief est infondé.</w:t>
      </w:r>
    </w:p>
    <w:p>
      <w:r>
        <w:rPr>
          <w:b/>
        </w:rPr>
        <w:t>E. 3</w:t>
      </w:r>
    </w:p>
    <w:p>
      <w:r>
        <w:t>La recourante conteste la nécessité de désigner un curateur de représentation pour ses enfants dans le cadre de la procédure pénale. 3.1.1 Si les père et mère sont empêchés d'agir ou si, dans une affaire, leurs intérêts entrent en conflit avec ceux de l'enfant, l'autorité de protection de l'enfant nomme un curateur ou prend elle-même les mesures nécessaires (art. 306 al. 2 CC). L'art. 306 al. 2 s'applique de manière large aussitôt que le représentant légal n'est pas en mesure de représenter l'enfant au mieux de ses intérêts dans une affaire particulière, que le conflit soit concret ou abstrait, direct ou indirect. Le conflit dont l'existence est effectivement établie est concret, mais un simple risque est suffisant (conflit dit abstrait) (Commentaire romand, Code civil I, PICHONNAZ FOËX (éd.), ad art. 306 n. 5 ss). Pour qu'il y ait conflit d'intérêts, il suffit que ceux-ci ne soient plus parallèles: un curateur doit être désigné dès qu'une mise en danger des intérêts du représenté apparaît possible (mise en danger "abstraite"; arrêt du Tribunal fédéral 5C.84/2004 du 2 septembre 2004 et les références citées). 3.1.2 L'autorité de protection (…) désigne un curateur expérimenté en matière d'assistance et dans le domaine juridique (art. 314abis al. 1 CC).</w:t>
      </w:r>
    </w:p>
    <w:p>
      <w:r>
        <w:rPr>
          <w:b/>
        </w:rPr>
        <w:t>E. 3.2</w:t>
      </w:r>
    </w:p>
    <w:p>
      <w:r>
        <w:t>En l'espèce, le Tribunal de protection a constaté à juste titre qu'alors qu'une procédure pénale était ouverte à l'encontre des deux parents des enfants concernés</w:t>
      </w:r>
    </w:p>
    <w:p>
      <w:r>
        <w:t>- 5/6 -</w:t>
      </w:r>
    </w:p>
    <w:p>
      <w:r>
        <w:t>C/5023/2022-CS (dans laquelle ils ont tous deux été mis en prévention à divers titres), il existait manifestement un (potentiel) conflit d'intérêts dans ladite procédure entre les victimes et les auteurs qui justifiait et nécessitait que les premières soient représentées par un curateur indépendant, capable de défendre leurs intérêts. Au vu de ce qui précède, c'est à juste titre que le Tribunal de protection a désigné un curateur chargé de représenter les deux mineurs dans le cadre de la procédure pénale diligentée contre leurs parents, lequel sera à même de défendre leurs intérêts en toute objectivité et sans affect particulier. Infondé, le recours sera rejeté sous suite de frais.</w:t>
      </w:r>
    </w:p>
    <w:p>
      <w:r>
        <w:rPr>
          <w:b/>
        </w:rPr>
        <w:t>E. 4</w:t>
      </w:r>
    </w:p>
    <w:p>
      <w:r>
        <w:t>Les frais judiciaires de la procédure de recours sont arrêtés à 400 fr. (art. 67A et 67B du Règlement fixant le tarif des frais en matière civile- RTFMC) et mis à la charge de la recourante, qui succombe (art. 106 al. 1 CPC). Ils seront toutefois laissés provisoirement à la charge de l'Etat, compte tenu du bénéfice de l'assistance judiciaire. * * * * *</w:t>
      </w:r>
    </w:p>
    <w:p>
      <w:r>
        <w:t>- 6/6 -</w:t>
      </w:r>
    </w:p>
    <w:p>
      <w:r>
        <w:t>C/5023/2022-CS PAR CES MOTIFS, La Chambre de surveillance : A la forme : Déclare recevable le recours formé le 22 avril 2022 par A______ contre la décision DTAE/1754/2022 rendue le 22 mars 2022 rendue par le Tribunal de protection de l'adulte et de l'enfant dans la cause C/5023/2022. Au fond : Le rejette. Déboute A______ de toutes autres conclusions. Sur les frais : Arrête les frais de la procédure de recours à 400 fr., les met à la charge de A______ et dit qu'ils sont provisoirement supportés par l'Etat de Genève, compte tenu du bénéfice de l'assistance judiciaire.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