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DAS/215/2023 vom 15. September 2023</w:t>
      </w:r>
    </w:p>
    <w:p>
      <w:r>
        <w:t>GE Cour de justice, 2023-09-15, FR</w:t>
      </w:r>
    </w:p>
    <w:p>
      <w:r>
        <w:rPr>
          <w:b/>
        </w:rPr>
        <w:t xml:space="preserve">Quelle: </w:t>
      </w:r>
      <w:r>
        <w:t>https://mcp.opencaselaw.ch/entscheid/ge_gerichte_DAS_215_2023</w:t>
      </w:r>
    </w:p>
    <w:p>
      <w:r>
        <w:t>FR: GE_GERICHTE DAS/215/2023 du 15 septembre 2023</w:t>
      </w:r>
    </w:p>
    <w:p>
      <w:r>
        <w:t>IT: GE_GERICHTE DAS/215/2023 del 15 settembre 2023</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(53 al. 1 LaCC). Interjeté en temps utile, et selon la forme prescrite, par la personne concernée par la mesure (art. 450 al. 2 ch. 2 et al. 3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t>- 7/10 -</w:t>
      </w:r>
    </w:p>
    <w:p>
      <w:r>
        <w:t>C/29011/2018-CS</w:t>
      </w:r>
    </w:p>
    <w:p>
      <w:r>
        <w:rPr>
          <w:b/>
        </w:rPr>
        <w:t>E. 2</w:t>
      </w:r>
    </w:p>
    <w:p>
      <w:r>
        <w:t>2.1.1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Cette disposition exprime le principe de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2.1.2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 La mesure ordonnée doit se trouver en adéquation avec le but fixé, représenter l’atteinte la plus faible possible pour être compatible avec celui-ci et rester dans un rapport raisonnable entre lui et l’atteinte engendrée (ATF 140 III 49 consid. 4.3.1; arrêt du Tribunal fédéral 5A_318/2013 du 12 juin 2013 consid. 2.4). L’autorité de protection de l’adulte lève la mesure si elle n’est plus justifiée, d’office ou à la requête de la personne concernée ou de l’un de ses proches (art. 399 al. 2 CC).</w:t>
      </w:r>
    </w:p>
    <w:p>
      <w:r>
        <w:rPr>
          <w:b/>
        </w:rPr>
        <w:t>E. 2.2</w:t>
      </w:r>
    </w:p>
    <w:p>
      <w:r>
        <w:t>En l’espèce, il ressort de l’expertise réalisée par le CURML le 22 décembre 2021 que A______ souffre d’un trouble grave de la personnalité de type paranoïaque et d’un trouble délirant persistant, lesquels sont durables et la rendent incapable de gérer les actes de la vie quotidienne, tant en matière administrative que financière, que de veiller à son état de santé et à son bien-être. L’expertise a</w:t>
      </w:r>
    </w:p>
    <w:p>
      <w:r>
        <w:t>- 8/10 -</w:t>
      </w:r>
    </w:p>
    <w:p>
      <w:r>
        <w:t>C/29011/2018-CS retenu une incapacité de discernement dans tous les domaines pour lesquels la curatelle a été instaurée à titre provisionnel. La recourante considère cependant que la mesure de curatelle instaurée est disproportionnée, et invoque à l'appui de son recours, qu’elle est dorénavant suivie par le CAPPI, qu’elle consulte un psychiatre en France voisine - pays dans lequel elle prétend exercer une activité professionnelle et aurait décidé de rapatrier son suivi médical -, qu’elle paie les factures que lui remet sa curatrice et que son caractère procédurier est un aspect de sa personnalité qui ne justifie aucunement la mise en place d'une mesure de curatelle en sa faveur, pas plus que ses difficultés de collaboration avec l'Hospice général. Aucun de ces éléments ne suffit à considérer que la mesure n’est plus utile, au contraire. Au niveau de la gestion administrative et financière, le seul fait que sa curatrice aurait pu lui confier la responsabilité de payer l’une ou l’autre de ses factures n'est pas encore déterminant pour considérer que la recourante serait en capacité de gérer l’ensemble de sa situation administrative et financière. Il ressort, au contraire, de l’audition de la curatrice par le Tribunal de protection que la recourante conserve certains documents auprès d’elle, au lieu de les lui remettre, ce qui a entraîné divers problèmes, dont la résiliation de son bail et l'obligation de rétrocéder un trop-perçu d'aide à l'Hospice général. De même, elle n'annonce pas qu'elle est sous curatelle et semble s'acquitter de certaines factures avec son entretien du mois, sans remettre les justificatifs à sa curatrice, ce qui pourrait expliquer ses plaintes liées à un manque d'argent. Les comportements de l’intéressée attestent ainsi du fait qu’elle demeure incapable de gérer ses affaires administratives et financières, et même d'appréhender la nécessité de remettre son courrier à sa curatrice. Elle ne saisit manifestement pas la portée de l’aide qui lui est fournie. En conséquence, la curatelle de représentation et de gestion au niveau administratif et financier s'avère toujours nécessaire et est parfaitement proportionnée et adéquate à répondre aux besoins de l'intéressée. Au niveau médical, si certes la recourante se rend au CAPPI, elle a clairement indiqué au Tribunal de protection qu’elle le faisait uniquement pour éviter son placement à des fins d’assistance. Quant au médecin de cette structure, il relève le manque de collaboration de l’intéressée, qui rend le suivi inefficace, étant précisé que la mesure de placement et le suivi conditionnant le sursis n'ont cependant rien à voir avec la mesure de curatelle contestée. Le médecin psychiatre privé de la concernée, comme le relève à juste titre le Tribunal de protection, n’a quant à lui pas indiqué que sa patiente serait dorénavant capable de gérer sa situation administrative et financière, ni qu’elle serait capable de prendre en charge sa santé et son bien-être, de sorte qu'aucun certificat médical n'atteste du fait que la curatelle instaurée ne serait plus nécessaire. La recourante ne voit aucun intérêt à poursuivre son suivi au CAPPI, pas plus qu’auprès de son médecin psychiatre</w:t>
      </w:r>
    </w:p>
    <w:p>
      <w:r>
        <w:t>- 9/10 -</w:t>
      </w:r>
    </w:p>
    <w:p>
      <w:r>
        <w:t>C/29011/2018-CS privé, et indique dorénavant vouloir être suivie en France voisine, ce qui démontre son incapacité à prendre en charge sa santé de manière efficace et cohérente. Quant au caractère procédurier, dont elle se prévaut dans son recours, et à sa communication difficile avec certains intervenants qui l'entourent, ils sont en lien direct avec ses problèmes d'ordre psychique, et non la démonstration qu'elle serait capable de défendre ses intérêts. En conséquence, la mesure de curatelle dans les domaines de la santé et du bien-être est également toujours nécessaire, adéquate et proportionnée. Ainsi, rien ne justifie de lever la mesure de protection mise en place, comme l’a retenu à juste titre le Tribunal de protection, qui l’a, au contraire et à bon droit, confirmée sur le fond. Le recours sera donc rejeté et l’ordonnance confirmée.</w:t>
      </w:r>
    </w:p>
    <w:p>
      <w:r>
        <w:rPr>
          <w:b/>
        </w:rPr>
        <w:t>E. 3</w:t>
      </w:r>
    </w:p>
    <w:p>
      <w:r>
        <w:t>Dans la mesure où elle succombe, la recourante sera condamnée aux frais de la procédure, fixés à 400 fr., lesquels seront provisoirement laissés à la charge de l’Etat, compte tenu de l’octroi de l’assistance juridique à la recourante. Il ne sera pas alloué de dépens. * * * * *</w:t>
      </w:r>
    </w:p>
    <w:p>
      <w:r>
        <w:t>- 10/10 -</w:t>
      </w:r>
    </w:p>
    <w:p>
      <w:r>
        <w:t>C/29011/2018-CS PAR CES MOTIFS, La Chambre de surveillance : A la forme : Déclare recevable le recours formé par A______ contre l’ordonnance DTAE/9295/2022 du 6 décembre 2022 rendue par le Tribunal de protection de l’adulte et de l’enfant dans la cause C/29011/2018. Au fond : Le rejette. Sur les frais : Arrête les frais judiciaires à 400 fr., les met à la charge de A______ et dit qu’ils sont provisoirement supportés par l’Etat de Genève, celle-ci étant au bénéfice de l’assistance judiciaire. Dit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