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DAS/210/2025 vom 28. August 2025</w:t>
      </w:r>
    </w:p>
    <w:p>
      <w:r>
        <w:t>GE Cour de justice, 2025-08-28, FR</w:t>
      </w:r>
    </w:p>
    <w:p>
      <w:r>
        <w:rPr>
          <w:b/>
        </w:rPr>
        <w:t xml:space="preserve">Quelle: </w:t>
      </w:r>
      <w:r>
        <w:t>https://mcp.opencaselaw.ch/entscheid/ge_gerichte_DAS_210_2025</w:t>
      </w:r>
    </w:p>
    <w:p>
      <w:r>
        <w:t>FR: GE_GERICHTE DAS/210/2025 du 28 août 2025</w:t>
      </w:r>
    </w:p>
    <w:p>
      <w:r>
        <w:t>IT: GE_GERICHTE DAS/210/2025 del 28 agosto 2025</w:t>
      </w:r>
    </w:p>
    <w:p>
      <w:pPr>
        <w:pStyle w:val="Heading2"/>
      </w:pPr>
      <w:r>
        <w:t>Erwägungen</w:t>
      </w:r>
    </w:p>
    <w:p>
      <w:r>
        <w:rPr>
          <w:b/>
        </w:rPr>
        <w:t>E. 1.1</w:t>
      </w:r>
    </w:p>
    <w:p>
      <w:r>
        <w:t>Les décisions du Tribunal de protection de l'adulte et de l'enfant sont susceptibles de recours à la Chambre de surveillance de la Cour de justice dans un délai de trente jours à compter de leur notification (art. 440 al. 3, 450b al. 1 et 450f CC; art. 153 al. 1 et 2 LaCC; art. 126 al. 3 LOJ). Le recours doit être dûment motivé et interjeté par écrit auprès du juge (art. 450 al. 3 CC). En l'espèce, le recours a été formé dans le délai utile et selon les formes prescrites, par une personne ayant qualité pour recourir au sens de l’art. 450 al. 2 CC, de sorte qu'il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Bien que le recourant n'ait pas indiqué quels sont les points du dispositif de l'ordonnance du 10 juin 2025 qu'il attaque, on comprend de la motivation de son acte qu'il reproche essentiellement au Tribunal de protection d'avoir maintenu la suspension des relations personnelles avec ses enfants (ch. 4 du dispositif), voir, éventuellement, d'avoir confirmé le retrait du droit de garde et de déterminer leur lieu de résidence (ch. 1) ainsi que l'interdiction de périmètre (ch. 9).</w:t>
      </w:r>
    </w:p>
    <w:p>
      <w:r>
        <w:t>- 8/11 -</w:t>
      </w:r>
    </w:p>
    <w:p>
      <w:r>
        <w:t>C/4313/2023-CS</w:t>
      </w:r>
    </w:p>
    <w:p>
      <w:r>
        <w:t>Pour le reste, le recours ne contient aucune critique spécifique relative aux chiffres 2, 3, 5, 6, 7, 8, 10, 11, 12 et 13 du dispositif de la décision attaquée, de sorte qu’il est irrecevable s’agissant de ces points (art. 321 al. 1 CPC). Quoi qu'il en soit, le recours est mal fondé dans son ensemble, comme cela ressort de la motivation qui suit. 2.1.1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Le père ou la mère qui ne détient pas l'autorité parentale ou la garde ainsi que l'enfant mineur ont réciproquement le droit d'entretenir les relations personnelles indiquées par les circonstances (art. 273 al. 1 CC). 2.1.2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- 9/11 -</w:t>
      </w:r>
    </w:p>
    <w:p>
      <w:r>
        <w:t>C/4313/2023-CS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2.1.3 Lorsque des faits nouveaux importants pour le bien de l'enfant le commandent, les mesures doivent être adaptées à la nouvelle situation (art. 313 al. 1 CC). De même, d'office ou sur requête de l'intéressé, les décisions fixant les relations personnelles entre l'enfant et le parent non gardien doivent être adaptées aux nouvelles circonstances, conformément à l'art. 313 al. 1 CC qui s'applique par analogie (MEIER/STETTLER, op. cit., n. 1054).</w:t>
      </w:r>
    </w:p>
    <w:p>
      <w:r>
        <w:rPr>
          <w:b/>
        </w:rPr>
        <w:t>E. 2.2</w:t>
      </w:r>
    </w:p>
    <w:p>
      <w:r>
        <w:t>En l'espèce, le Tribunal de protection a exposé que la situation ayant mené au retrait de la garde au père, à la limitation de son autorité parentale et à la suspension des relations personnelles demeurait inchangée à ce jour. Il a souligné l'absence totale de remise en question du recourant, la peur exprimée par les mineurs à l'idée de revoir leur père et le risque qu'il ne tente, encore une fois, de les enlever. Devant la Chambre de surveillance, le recourant se limite essentiellement à rediscuter les circonstances de son départ en Suède avec les mineurs, cherchant à faire prévaloir sa version des faits sur celle retenue par les autorités. Il n'invoque ainsi aucun fait nouveau susceptible de justifier une modification des mesures prises. Au demeurant, il est manifeste que le recourant décrit sa propre vision des choses et ignore tout ce qui ne va pas dans son sens en dépit des éléments du dossier. Il affirme ainsi que B______ avait consenti au déplacement de la famille en Suède, sans expliquer pourquoi, dans cette version des événements, la mère a immédiatement entrepris des démarches auprès des autorités et des organismes spécialisés pour obtenir le retour des enfants, ni pour quelle raison il a rompu tout</w:t>
      </w:r>
    </w:p>
    <w:p>
      <w:r>
        <w:t>- 10/11 -</w:t>
      </w:r>
    </w:p>
    <w:p>
      <w:r>
        <w:t>C/4313/2023-CS contact entre la mère et les enfants pendant deux mois. Les pièces auxquelles il se réfère – en particulier la demande de permis de résidence en Suède au nom de B______ – sont toutes antérieures à la séparation des parties intervenue à l'été 2022, de sorte qu'elles sont manifestement impropres à remettre en cause le fait que le recourant a emmené ses enfants à l'étranger en décembre 2022 de manière abrupte et sans l'accord de leur mère. Le recourant reproche par ailleurs au SPMi de ne pas avoir pris contact avec lui, alors qu'il ressort du dossier qu'il n'a plus donné signe de vie à ce service depuis le printemps 2024. Enfin, il semble vouloir ignorer purement et simplement l'existence des bilans de la Guidance infantile, lesquels établissent la souffrance psychologique des mineurs. En somme, le recourant s'obstine, depuis le début de la procédure, à rejeter la faute sur les autorités et sur les tiers, les accusant de mentir à chaque fois qu'il est contredit. Il n'entreprend aucune des démarches qui sont attendues de lui, à savoir, mettre en œuvre un suivi thérapeutique destiné à comprendre les besoins de ses enfants et collaborer avec les curateurs afin de mettre en place les conditions indispensables à une reprise de lien, compte tenu de la gravité des événements survenus et de l'état psychologique des mineurs. Le recourant fait ainsi preuve d'une incapacité à collaborer de façon constructive et d'une absence de prise de conscience de sa responsabilité dans la situation actuelle. Par conséquent, en l'absence de toute circonstance nouvelle favorable, le bien des mineurs commandait, comme l'a décidé le Tribunal de protection, de maintenir les mesures en vigueur, le SPMi demeurant pour le surplus chargé de suivre l'évolution de la situation auprès des thérapeutes des mineurs.</w:t>
      </w:r>
    </w:p>
    <w:p>
      <w:r>
        <w:rPr>
          <w:b/>
        </w:rPr>
        <w:t>E. 2.3</w:t>
      </w:r>
    </w:p>
    <w:p>
      <w:r>
        <w:t>L'ordonnance entreprise sera donc confirmée.</w:t>
      </w:r>
    </w:p>
    <w:p>
      <w:r>
        <w:rPr>
          <w:b/>
        </w:rPr>
        <w:t>E. 3</w:t>
      </w:r>
    </w:p>
    <w:p>
      <w:r>
        <w:t>La procédure est gratuite (art. 81 al. 1 LaCC). Il n'y a pas lieu à l'allocation de dépens. * * * * *</w:t>
      </w:r>
    </w:p>
    <w:p>
      <w:r>
        <w:t>- 11/11 -</w:t>
      </w:r>
    </w:p>
    <w:p>
      <w:r>
        <w:t>C/4313/2023-CS PAR CES MOTIFS, La Chambre de surveillance :</w:t>
      </w:r>
    </w:p>
    <w:p>
      <w:r>
        <w:t>A la forme : Déclare recevable le recours formé le 28 août 2025 par A______ contre l'ordonnance DTAE/6728/2025 rendue le 10 juin 2025 par le Tribunal de protection de l’adulte et de l’enfant dans la cause C/4313/2023. Au fond : Le rejette. Déboute le recourant de toutes autres conclusions. Sur les frais : Dit que la procédure est gratuite et qu’il n’y a pas lieu à l’allocation de dépens. Siégeant : Madame Jocelyne DEVILLE-CHAVANNE, présidente; Monsieur Cédric-Laurent MICHEL et Madame Stéphanie MUSY,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