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DAS/209/2016 vom 17. Juni 2015</w:t>
      </w:r>
    </w:p>
    <w:p>
      <w:r>
        <w:t>GE Cour de justice, 2015-06-17, FR</w:t>
      </w:r>
    </w:p>
    <w:p>
      <w:r>
        <w:rPr>
          <w:b/>
        </w:rPr>
        <w:t xml:space="preserve">Quelle: </w:t>
      </w:r>
      <w:r>
        <w:t>https://mcp.opencaselaw.ch/entscheid/ge_gerichte_DAS_209_2016</w:t>
      </w:r>
    </w:p>
    <w:p>
      <w:r>
        <w:t>FR: GE_GERICHTE DAS/209/2016 du 17 juin 2015</w:t>
      </w:r>
    </w:p>
    <w:p>
      <w:r>
        <w:t>IT: GE_GERICHTE DAS/209/2016 del 17 giugno 2015</w:t>
      </w:r>
    </w:p>
    <w:p>
      <w:pPr>
        <w:pStyle w:val="Heading2"/>
      </w:pPr>
      <w:r>
        <w:t>Erwägungen</w:t>
      </w:r>
    </w:p>
    <w:p>
      <w:r>
        <w:rPr>
          <w:b/>
        </w:rPr>
        <w:t>E. 1.1</w:t>
      </w:r>
    </w:p>
    <w:p>
      <w:r>
        <w:t>Les décisions de l'autorité de protection de l'adulte peuvent faire l'objet d'un recours écrit et motivé, devant le juge compétent, à savoir la Chambre de surveillance de la Cour de justice, dans les trente jours qui suivent la notification de la décision (art. 450 al. 1 et 3 CC; art. 53 al. 1 et 2 LaCC). Ont qualité pour recourir les personnes parties à la procédure, les proches de la personne concernée et les personnes qui ont un intérêt juridique à l'annulation ou à la modification de la décision attaquée (art. 450 al. 2 CC). Interjeté par la personne concernée, dans le délai et les formes prescrits par la loi, le recours est recevable.</w:t>
      </w:r>
    </w:p>
    <w:p>
      <w:r>
        <w:rPr>
          <w:b/>
        </w:rPr>
        <w:t>E. 1.2</w:t>
      </w:r>
    </w:p>
    <w:p>
      <w:r>
        <w:t>La Chambre de surveillance examine la cause librement, en fait, en droit et sous l'angle de l'opportunité (art. 450a CC).</w:t>
      </w:r>
    </w:p>
    <w:p>
      <w:r>
        <w:t>- 6/9 -</w:t>
      </w:r>
    </w:p>
    <w:p>
      <w:r>
        <w:t>C/12829/2014-CS</w:t>
      </w:r>
    </w:p>
    <w:p>
      <w:r>
        <w:rPr>
          <w:b/>
        </w:rPr>
        <w:t>E. 1.3</w:t>
      </w:r>
    </w:p>
    <w:p>
      <w:r>
        <w:t>Les pièces nouvellement déposées devant la Chambre de céans sont recevables, dès lors que l'art. 53 LaCC, qui régit de manière exhaustive les actes accomplis par les parties en seconde instance, à l'exclusion du CPC (art. 450 f CC cum art. 31 al. 1 let. c et let. d a contrario LaCC), ne prévoit aucune restriction en cette matière.</w:t>
      </w:r>
    </w:p>
    <w:p>
      <w:r>
        <w:rPr>
          <w:b/>
        </w:rPr>
        <w:t>E. 2</w:t>
      </w:r>
    </w:p>
    <w:p>
      <w:r>
        <w:t>La recourante sollicite l'annulation de la décision du Tribunal de protection du 20 janvier 2016 qui maintient la mesure de curatelle instaurée à son endroit.</w:t>
      </w:r>
    </w:p>
    <w:p>
      <w:r>
        <w:rPr>
          <w:b/>
        </w:rPr>
        <w:t>E. 2.1</w:t>
      </w:r>
    </w:p>
    <w:p>
      <w:r>
        <w:t>L'autorité de protection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(art. 390 al. 1 ch. 1 CC). En vertu de l'art. 394 CC, une curatelle de représentation est instituée lorsque la personne qui a besoin d'aide ne peut accomplir certains actes et doit de ce fait être représentée (al. 1); l'autorité de protection de l'adulte peut limiter en conséquence l'exercice des droits civils de la personne concernée (al. 2). La curatelle de représentation peut être déclinée sous forme de curatelle de gestion ayant pour objet la gestion du patrimoine (art. 395 al. 1 CC). L'autorité de protection peut, sans limiter l'exercice des droits civils de la personne concernée, la priver de la faculté d'accéder à certains éléments de son patrimoine (art. 395 al. 3 CC; arrêt du Tribunal fédéral 5A_356/2015 du 26 juin 2015 consid. 3.1). Les mesures prises par l'autorité de protection de l'adulte garantissent l'assistance et la protection de la personne qui a besoin d'aide. Elles préservent et favorisent autant que possible leur autonomie (art. 388 al. 1 et 2 CC), dans le respect des principes de subsidiarité et de proportionnalité (art. 389 CC). L'application du principe de la subsidiarité implique que l'autorité de protection de l'adulte ne peut prendre des mesures de protection que si l'aide dont nécessite la personne concernée ne peut être procurée par sa famille, ses proches ou par les services publics ou privés compétents (art. 389 al. 1 CC; Message FF 2006 6635, p. 6676).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La mesure ordonnée doit donc se trouver en adéquation avec le but fixé, représenter l'atteinte la plus faible possible pour être compatible avec celui-ci et rester dans un rapport raisonnable entre lui et l'atteinte engendrée (ATF 140 III 49 consid. 4.3.1; arrêts du Tribunal fédéral 5A_1034/2015 du 2 février 2016 consid. 3.1; 5A_743/2015 du 11 décembre 2015 consid. 4.1).</w:t>
      </w:r>
    </w:p>
    <w:p>
      <w:r>
        <w:t>- 7/9 -</w:t>
      </w:r>
    </w:p>
    <w:p>
      <w:r>
        <w:t>C/12829/2014-CS Selon l'art. 399 al. 2 CC, l'autorité de protection lève la curatelle si elle n'est plus justifiée, d'office ou à la requête de la personne concernée ou de l'un de ses proches. Pour qu'elle ne soit plus justifiée, il faut que les conditions à son prononcé ne soient plus réalisées.</w:t>
      </w:r>
    </w:p>
    <w:p>
      <w:r>
        <w:rPr>
          <w:b/>
        </w:rPr>
        <w:t>E. 2.2</w:t>
      </w:r>
    </w:p>
    <w:p>
      <w:r>
        <w:t>En l'espèce, la recourante a été diagnostiquée dépendante à l'alcool en utilisation épisodique et atteinte de troubles cognitifs débutants d'origine multifactorielle, ainsi que d'un trouble de la personnalité labile de type borderline. En outre, elle souffre de nombreux problèmes somatiques sévères nécessitant un suivi et une prise en charge sérieuse au niveau des soins, en particulier pour sa jambe. Or, la recourante a démontré à plusieurs reprises ne pas respecter les consignes qui lui sont adressées, notamment sur le plan médical en ayant recours à une automédication ou en s'obstinant à adopter une hygiène corporelle désastreuse, au risque de subir de graves complications. Son opposition constante aux remarques et recommandations manifeste un certain déni de la gravité de la situation. Bien qu'elle se prétende autonome, la recourante est incapable de maintenir son logement dans un état convenable ou de gérer ses affaires courantes telles que le paiement de ses factures, affectant l'entier de ses revenus dans ses loisirs, accumulant ainsi les dettes sans aucune prise de responsabilité. Elle continue également d'acquérir des animaux de toute sorte malgré l'interdiction du SCAV et les avertissements des curatrices, lesquelles doivent systématiquement la convaincre de rendre ses animaux de compagnie. Par ailleurs, la recourante n'a pas su exploiter le délai d'épreuve accordé par son bailleur, si bien que d'après les curatrices, elle sera certainement expulsée de son appartement prochainement et devra se trouver un nouveau logement. Au vu de ces constatations, force est d'admettre que la recourante n'est pas à même de prendre les mesures qui seraient bénéfiques pour elle. Au contraire, elle reproche aux curatrices d'avoir procédé au changement de son assurance-maladie et à un nettoyage en profondeur de son appartement avant son retour à domicile, alors que ces démarches lui étaient favorables et conformes à son intérêt. Contrairement à ce qu'elle soutient, rien ne laisse à penser que la disparition de ses effets personnels soit imputable à l'unité de désinfection. En définitive, la recourante ne reconnaît pas, ou minimise outre mesure, la réalité de la situation et, par conséquent, son besoin de soutien pour pouvoir gérer pleinement ses affaires. Bien que le Docteur H______ ait attesté que la recourante ne présentait pas de troubles médicaux justifiant le maintien d'une mesure de protection, cette analyse est contredite par l'ensemble du dossier et les précédents certificats médicaux, en particulier par l'expertise psychiatrique réalisée par la Doctoresse F______ et le professeur G______, tous deux spécialistes en psychiatrie. Dans la mesure où le Docteur H______, en sa qualité de praticien en médecine interne, suivait la recourante uniquement pour des troubles mécaniques orthopédiques, à l'exclusion de tout suivi psychiatrique, ses conclusions à cet égard ne sauraient à elles seules</w:t>
      </w:r>
    </w:p>
    <w:p>
      <w:r>
        <w:t>- 8/9 -</w:t>
      </w:r>
    </w:p>
    <w:p>
      <w:r>
        <w:t>C/12829/2014-CS remettre en cause les précédents constats médicaux, lesquels sont tous unanimes, ce d'autant plus que ces considérations ne trouvent aucune assise dans le dossier Compte tenu de ce qui précède, la Cour considère que les conditions de la curatelle instaurée en faveur de la recourante sont toujours réunies, aucune mesure moins incisive n'entrant au demeurant en considération.</w:t>
      </w:r>
    </w:p>
    <w:p>
      <w:r>
        <w:t>Mal fondé, le recours devra ainsi être rejeté.</w:t>
      </w:r>
    </w:p>
    <w:p>
      <w:r>
        <w:rPr>
          <w:b/>
        </w:rPr>
        <w:t>E. 3</w:t>
      </w:r>
    </w:p>
    <w:p>
      <w:r>
        <w:t>LaCC, 5 et 67B du Règlement fixant le tarif des frais en matière civile (RTFMC - E 1 05.10) et mis à la charge de la recourante, qui succombe (art. 106 al. 1 CPC).</w:t>
      </w:r>
    </w:p>
    <w:p>
      <w:r>
        <w:t>Ces frais seront entièrement compensés avec l'avance de frais du même montant opérée par la recourante, laquelle reste acquise à l'Etat (art. 111 CPC).</w:t>
      </w:r>
    </w:p>
    <w:p>
      <w:r>
        <w:t>Vu l'issue du litige, il n'y a pas lieu d'allouer des dépens. * * * * *</w:t>
      </w:r>
    </w:p>
    <w:p>
      <w:r>
        <w:t>- 9/9 -</w:t>
      </w:r>
    </w:p>
    <w:p>
      <w:r>
        <w:t>C/12829/2014-CS PAR CES MOTIFS, La Chambre de surveillance : A la forme : Déclare recevable le recours formé le 6 mai 2016 par A______ contre l'ordonnance DTAE/1652/2016 rendue le 20 janvier 2016 par le Tribunal de protection de l'adulte et de l'enfant dans la cause C/12829/2014-2. Au fond : Le rejette et confirme l'ordonnance querellée. Déboute les parties de toutes ou contraires conclusions. Sur les frais : Arrête les frais judiciaires à 300 fr., les met à la charge de A______ et les compense avec l'avance de même montant opérée, qui reste acquise à l'Etat de Genève. Dit qu'il n'est pas alloué de dépens. Siégeant : Monsieur Cédric-Laurent MICHEL, président; Monsieur Jean-Marc STRUBIN et Madame Sylvie DROIN,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