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DAS/203/2018 vom 27. Juni 2018</w:t>
      </w:r>
    </w:p>
    <w:p>
      <w:r>
        <w:t>GE Cour de justice, 2018-06-27, FR</w:t>
      </w:r>
    </w:p>
    <w:p>
      <w:r>
        <w:rPr>
          <w:b/>
        </w:rPr>
        <w:t xml:space="preserve">Quelle: </w:t>
      </w:r>
      <w:r>
        <w:t>https://mcp.opencaselaw.ch/entscheid/ge_gerichte_DAS_203_2018</w:t>
      </w:r>
    </w:p>
    <w:p>
      <w:r>
        <w:t>FR: GE_GERICHTE DAS/203/2018 du 27 juin 2018</w:t>
      </w:r>
    </w:p>
    <w:p>
      <w:r>
        <w:t>IT: GE_GERICHTE DAS/203/2018 del 27 giugno 2018</w:t>
      </w:r>
    </w:p>
    <w:p>
      <w:pPr>
        <w:pStyle w:val="Heading2"/>
      </w:pPr>
      <w:r>
        <w:t>Erwägungen</w:t>
      </w:r>
    </w:p>
    <w:p>
      <w:r>
        <w:rPr>
          <w:b/>
        </w:rPr>
        <w:t>E. 1.1</w:t>
      </w:r>
    </w:p>
    <w:p>
      <w:r>
        <w:t>Les décisions de l'autorité de protection de l'adulte peuvent faire l'objet, dans les trente jours dès leur notification, d'un recours écrit et motivé, devant le juge compétent, à savoir la Chambre de surveillance de la Cour de justice (art. 450 al. 1 et al. 3 et 450b CC; art. 126 al. 3 LOJ; art. 53 al. 1 et 2 LaCC). En l'espèce, le recours, formé par la personne placée sous curatelle, a été interjeté dans le délai légal. Il sera par ailleurs admis qu'il est suffisamment motivé, de sorte qu'il est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La recourante sollicite la désignation d'un autre curateur en lieu et place de C______, avec lequel elle déclare ne pas se sentir en confiance et qui ne correspond pas à ses attentes. 2.1.1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w:t>
      </w:r>
    </w:p>
    <w:p>
      <w:r>
        <w:t>- 6/7 -</w:t>
      </w:r>
    </w:p>
    <w:p>
      <w:r>
        <w:t>C/22071/2016-CS</w:t>
      </w:r>
    </w:p>
    <w:p>
      <w:r>
        <w:rPr>
          <w:b/>
        </w:rPr>
        <w:t>E. 2.2</w:t>
      </w:r>
    </w:p>
    <w:p>
      <w:r>
        <w:t>En l'espèce, le Tribunal de protection a désigné un avocat à la fonction de curateur de la recourante et aucun élément concret ne permet de retenir qu'il n'aurait pas les compétences nécessaires pour mener à bien la mission qui lui a été confiée; la recourante ne le soutient d'ailleurs pas. Pour le surplus, la recourante, qui n'a proposé aucun curateur correspondant à ses critères, n'a pas expliqué en quoi ses attentes auraient été déçues par le curateur nommé et pour quel motif elle ne se sentirait pas en confiance avec lui, étant relevé que sa désignation est toute récente et qu'il ne semble pas avoir accompli d'actes particuliers de gestion pour l'instant. La motivation de la recourante pour contester la nomination de C______ à la fonction de curateur est par conséquent insuffisante et son recours doit être rejeté.</w:t>
      </w:r>
    </w:p>
    <w:p>
      <w:r>
        <w:rPr>
          <w:b/>
        </w:rPr>
        <w:t>E. 3</w:t>
      </w:r>
    </w:p>
    <w:p>
      <w:r>
        <w:t>Les frais de la procédure, arrêtés à 400 fr., seront mis à la charge de A______, qui succombe. Ils sont entièrement couverts par l'avance de frais effectuée, laquelle est acquise à l'Etat de Genève. * * * * *</w:t>
      </w:r>
    </w:p>
    <w:p>
      <w:r>
        <w:t>- 7/7 -</w:t>
      </w:r>
    </w:p>
    <w:p>
      <w:r>
        <w:t>C/22071/2016-CS PAR CES MOTIFS, La Chambre de surveillance : A la forme : Déclare recevable le recours formé par A______ contre l'ordonnance DTAE/3020/2018 rendue le 5 juin 2018 par le Tribunal de protection de l'adulte et de l'enfant dans la cause C/22071/2016-2. Au fond : Le rejette. Statuant sur les frais : Arrête les frais de la procédure de recours à 400 fr., les met à la charge de A______ et les compense avec l'avance de frais,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