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DAS/201/2024 vom 11. April 2024</w:t>
      </w:r>
    </w:p>
    <w:p>
      <w:r>
        <w:t>GE Cour de justice, 2024-04-11, FR</w:t>
      </w:r>
    </w:p>
    <w:p>
      <w:r>
        <w:rPr>
          <w:b/>
        </w:rPr>
        <w:t xml:space="preserve">Quelle: </w:t>
      </w:r>
      <w:r>
        <w:t>https://mcp.opencaselaw.ch/entscheid/ge_gerichte_DAS_201_2024</w:t>
      </w:r>
    </w:p>
    <w:p>
      <w:r>
        <w:t>FR: GE_GERICHTE DAS/201/2024 du 11 avril 2024</w:t>
      </w:r>
    </w:p>
    <w:p>
      <w:r>
        <w:t>IT: GE_GERICHTE DAS/201/2024 del 11 aprile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2.1</w:t>
      </w:r>
    </w:p>
    <w:p>
      <w:r>
        <w:t>Le recours doit être dûment motivé et interjeté par écrit auprès du juge (art. 450 al. 3 CC).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L'instance de recours vérifie d'office les conditions de recevabilité (art. 60 CPC);</w:t>
      </w:r>
    </w:p>
    <w:p>
      <w:r>
        <w:rPr>
          <w:b/>
        </w:rPr>
        <w:t>E. 2.2</w:t>
      </w:r>
    </w:p>
    <w:p>
      <w:r>
        <w:t>En l’espèce, le recourant s’est contenté d’alléguer qu’aucun motif raisonnable ni valable ne justifiait la décision rendue par le Tribunal de protection, sans critiquer explicitement le raisonnement tenu par les premiers juges. Il est par conséquent douteux que cette motivation, indigente, remplisse les conditions de l’art. 450 al. 3 CC, précisé par la jurisprudence. Cette question peut</w:t>
      </w:r>
    </w:p>
    <w:p>
      <w:r>
        <w:t>- 11/14 -</w:t>
      </w:r>
    </w:p>
    <w:p>
      <w:r>
        <w:t>C/23446/2015-CS toutefois demeurer indécise, dans la mesure où le recours est, quoiqu’il en soit, infondé pour les raisons qui seront brièvement exposées ci-après.</w:t>
      </w:r>
    </w:p>
    <w:p>
      <w:r>
        <w:rPr>
          <w:b/>
        </w:rPr>
        <w:t>E. 3.1</w:t>
      </w:r>
    </w:p>
    <w:p>
      <w:r>
        <w:t>En principe, il n’y a pas de débats devant la Chambre de surveillance de la Cour de justice, sauf en matière de placement à des fins d’assistance (art. 53 al. 5 LaCC).</w:t>
      </w:r>
    </w:p>
    <w:p>
      <w:r>
        <w:rPr>
          <w:b/>
        </w:rPr>
        <w:t>E. 3.2</w:t>
      </w:r>
    </w:p>
    <w:p>
      <w:r>
        <w:t>En l’espèce, le dossier est suffisamment instruit sans qu’il soit nécessaire d’entendre le recourant, lequel n’indique pas précisément sur quels points son audition pourrait se révéler utile.</w:t>
      </w:r>
    </w:p>
    <w:p>
      <w:r>
        <w:rPr>
          <w:b/>
        </w:rPr>
        <w:t>E. 4</w:t>
      </w:r>
    </w:p>
    <w:p>
      <w:r>
        <w:t>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w:t>
      </w:r>
    </w:p>
    <w:p>
      <w:r>
        <w:t>- 12/14 -</w:t>
      </w:r>
    </w:p>
    <w:p>
      <w:r>
        <w:t>C/23446/2015-CS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 Le juge dispose d'un large pouvoir d'appréciation dans la fixation du droit de visite (ATF 122 III 404 consid. 3d = JdT 1998 I 46).</w:t>
      </w:r>
    </w:p>
    <w:p>
      <w:r>
        <w:rPr>
          <w:b/>
        </w:rPr>
        <w:t>E. 4.2</w:t>
      </w:r>
    </w:p>
    <w:p>
      <w:r>
        <w:t>Les parents des deux mineurs concernés vivent séparés depuis plusieurs années ; leurs relations demeurent toutefois conflictuelles, ce qui va à l’encontre de l’intérêt des enfants. Par ordonnance du 18 novembre 2021 rendue sur mesures provisionnelles, puis confirmée au fond par jugement du 20 octobre 2022, le Tribunal de première instance a réservé au recourant un large droit de visite sur ses enfants à raison d’un soir par semaine, d’un week-end sur deux et de la moitié des vacances scolaires. Le recourant n’a toutefois jamais exercé ce droit de visite, s’étant déclaré d’entrée de cause en désaccord avec les modalités qui lui avaient été imposées par le Tribunal. Le recourant a ensuite adopté un comportement erratique, manifestant soudainement, au mois de mai 2022, la volonté d’exercer son droit de visite et se présentant à la sortie des classes sans avertissement et préparation préalable des mineurs. A titre de justification, le recourant a expliqué ne pas avoir l’habitude d’être « géré », ce qui atteste du fait qu’il a agi de manière purement égoïste, sans tenir compte de l’impact que son comportement aurait nécessairement sur ses enfants, avec lesquels il n’était plus en contact depuis plusieurs mois. Depuis lors, le recourant a persisté à ne pas se conformer aux décisions rendues, à ne pas respecter le calendrier du droit de visite préparé par le SPMi, refusant notamment de se présenter au Point rencontre à nouveau sans tenir compte de l’effet d’un tel refus sur les deux mineurs, lesquels s’étaient préparés à le rencontrer ; le recourant a également continué à se rendre à proximité de l’école de ses enfants. La situation vécue par ces derniers a induit, en particulier chez E______, une importante angoisse, ainsi que des troubles du sommeil et du comportement, au point qu’elle a exprimé, notamment devant le Tribunal de protection, son refus de revoir son père pour l’instant et d’avoir avec lui des contacts téléphoniques. Quant à F______, s’il a déclaré qu’il se réjouissait « un peu » de revoir son père, il a également exprimé certaines craintes, qui ne sauraient être ignorées. C’est dès lors à juste titre que le Tribunal de protection a suspendu les relations personnelles entre le recourant et sa fille E______ et limité celles avec son fils F______. La motivation développée par le Tribunal de protection à l’appui de sa décision est claire et devrait conduire le recourant à réfléchir au comportement qu’il a adopté depuis plusieurs années et à l’impact de celui-ci sur ses enfants, sans chercher à rejeter la responsabilité des difficultés actuelles sur des tiers.</w:t>
      </w:r>
    </w:p>
    <w:p>
      <w:r>
        <w:t>- 13/14 -</w:t>
      </w:r>
    </w:p>
    <w:p>
      <w:r>
        <w:t>C/23446/2015-CS Infondé, le recours sera rejeté.</w:t>
      </w:r>
    </w:p>
    <w:p>
      <w:r>
        <w:rPr>
          <w:b/>
        </w:rPr>
        <w:t>E. 5</w:t>
      </w:r>
    </w:p>
    <w:p>
      <w:r>
        <w:t>Le recours, qui porte essentiellement sur les relations personnelles, n’est pas gratuit (art. 77 et art. 81 al. 1 a contrario et art. 67A et 67B RTFMC).</w:t>
      </w:r>
    </w:p>
    <w:p>
      <w:r>
        <w:t>Le recourant, qui succombe (art. 106 al. 1 CPC), sera dès lors condamné à verser à l’Etat de Genève, soit pour lui les Services financiers du Pouvoir judiciaire, un émolument de décision de 400 fr.</w:t>
      </w:r>
    </w:p>
    <w:p>
      <w:r>
        <w:t>Compte tenu de la nature familiale du litige, chaque partie supportera ses propres dépens de recours (art. 107 al. 1 let. c CPC). * * * * *</w:t>
      </w:r>
    </w:p>
    <w:p>
      <w:r>
        <w:t>- 14/14 -</w:t>
      </w:r>
    </w:p>
    <w:p>
      <w:r>
        <w:t>C/23446/2015-CS PAR CES MOTIFS, La Chambre de surveillance : Rejette, dans la mesure de sa recevabilité, le recours formé par A______ contre l’ordonnance DTAE/1454/2024 rendue le 10 janvier 2024 par le Tribunal de protection de l’adulte et de l’enfant dans la cause C/23446/2015. Condamne A______ à verser à l’Etat de Genève, soit pour lui les Services financiers du Pouvoir judiciaire, un émolument de décision de 400 fr. Dit qu’il n’est pas alloué de dépens. Siégeant : Monsieur Cédric-Laurent MICHEL, président;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