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DAS/1/2023 vom 25. April 2022</w:t>
      </w:r>
    </w:p>
    <w:p>
      <w:r>
        <w:t>GE Cour de justice, 2022-04-25, FR</w:t>
      </w:r>
    </w:p>
    <w:p>
      <w:r>
        <w:rPr>
          <w:b/>
        </w:rPr>
        <w:t xml:space="preserve">Quelle: </w:t>
      </w:r>
      <w:r>
        <w:t>https://mcp.opencaselaw.ch/entscheid/ge_gerichte_DAS_1_2023</w:t>
      </w:r>
    </w:p>
    <w:p>
      <w:r>
        <w:t>FR: GE_GERICHTE DAS/1/2023 du 25 avril 2022</w:t>
      </w:r>
    </w:p>
    <w:p>
      <w:r>
        <w:t>IT: GE_GERICHTE DAS/1/2023 del 25 aprile 2022</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Le délai de recours est de trente jours à compter de la notification de la décision (art. 450b al. 1 CC; art. 53 al. 2 LaCC applicable par renvoi de l'art. 314 al. 1 CC). En l'espèce, le recours a été formé par le père des mineurs, dans le délai utile de trente jours et devant l'autorité compétente, il est donc recevable à la forme.</w:t>
      </w:r>
    </w:p>
    <w:p>
      <w:r>
        <w:rPr>
          <w:b/>
        </w:rPr>
        <w:t>E. 1.2</w:t>
      </w:r>
    </w:p>
    <w:p>
      <w:r>
        <w:t>La Chambre de surveillance examine la cause librement, en fait, en droit et sous l'angle de l'opportunité (art. 450a CC).</w:t>
      </w:r>
    </w:p>
    <w:p>
      <w:r>
        <w:t>- 8/14 -</w:t>
      </w:r>
    </w:p>
    <w:p>
      <w:r>
        <w:t>C/11710/2021-CS Les maximes inquisitoire et illimitée d'office sont applicables, de sorte que la Cour établit les faits d'office et n'est pas liée par les conclusions des parties (art. 446 al. 1 et 3 CC).</w:t>
      </w:r>
    </w:p>
    <w:p>
      <w:r>
        <w:rPr>
          <w:b/>
        </w:rPr>
        <w:t>E. 1.3</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les pièces nouvelles déposées par le recourant sont dès lors admises. Il ne sera en revanche pas tenu compte des faits nouveaux que le recourant a invoqué et des pièces nouvelles – qui ne figureraient pas déjà au dossier - produites à leur appui dans le cadre de sa réplique déposée spontanément après que la cause ait été gardée à juger (ATF 144 III 117 consid. 2 2; 143 III 272 consid. 2.3.2; 142 III 413 consid. 2.2.3-2.2.6).</w:t>
      </w:r>
    </w:p>
    <w:p>
      <w:r>
        <w:rPr>
          <w:b/>
        </w:rPr>
        <w:t>E. 2</w:t>
      </w:r>
    </w:p>
    <w:p>
      <w:r>
        <w:t>Le recourant fait grief au Tribunal de protection d'avoir violé son droit d'être entendu en ne lui transmettant pas le rapport complémentaire du SPMi du 10 mars 2022 avant de prononcer la décision attaquée.</w:t>
      </w:r>
    </w:p>
    <w:p>
      <w:r>
        <w:t>Il reproche également au Tribunal de protection un déni de justice formel.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w:t>
      </w:r>
    </w:p>
    <w:p>
      <w:r>
        <w:t>- 9/14 -</w:t>
      </w:r>
    </w:p>
    <w:p>
      <w:r>
        <w:t>C/11710/2021-CS consid. 7.3; 127 V 431 consid. 3d/aa; 126 V 130 consid. 2b). L'appelant ne peut alors pas se contenter de se plaindre de cette violation, mais doit exercer son droit d'être entendu (arrêt du Tribunal fédéral 5A_925/2015 du 4 mars 2016 consid. 2.3.3.2 non publié aux ATF 142 III 195).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 2.1.2 La jurisprudence a également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w:t>
      </w:r>
    </w:p>
    <w:p>
      <w:r>
        <w:rPr>
          <w:b/>
        </w:rPr>
        <w:t>E. 2.2</w:t>
      </w:r>
    </w:p>
    <w:p>
      <w:r>
        <w:t>En l'espèce, le recourant soulève à raison que le Tribunal de protection ne lui a pas transmis le rapport du SPMi du 10 mars 2022, violant par là son droit d'être entendu. Il ressort toutefois du dossier que le recourant a consulté le dossier du Tribunal de protection le 13 avril 2022. Il a ainsi pu prendre connaissance de cette écriture avant l'échéance du délai de recours et se déterminer à son égard dans le cadre du recours adressé à la Chambre de surveillance, qui dispose d'une cognition complète, de sorte qu'il a pu faire valoir tous ses moyens en seconde instance. La violation de son droit d'être entendu a ainsi pu être réparée, de sorte qu'il ne sera pas donné suite à sa conclusion tendant à l'annulation de l'ordonnance pour ce motif.</w:t>
      </w:r>
    </w:p>
    <w:p>
      <w:r>
        <w:t>- 10/14 -</w:t>
      </w:r>
    </w:p>
    <w:p>
      <w:r>
        <w:t>C/11710/2021-CS Le recourant reproche ensuite au Tribunal de protection de s'être rendu coupable de déni de justice formel, en ne tenant pas compte du rapport rendu par B______ le 9 mars 2022. Or, le premier juge n'était pas tenu d'exposer et de discuter tous les faits de la cause, l'essentiel étant qu'il mentionne, au moins brièvement, les motifs qui l'ont guidé et sur lesquels il a fondé sa décision, ce qu'il a fait. En effet, le premier juge a exposé les raisons pour lesquelles il a jugé utile d'ordonner la suspension de toutes relations personnelles entre le père et les mineures. Bien que la motivation du Tribunal de protection soit succincte, elle est suffisamment explicite pour que le recourant puisse la comprendre et la contester utilement. La critique du recourant est, par conséquent, infondée.</w:t>
      </w:r>
    </w:p>
    <w:p>
      <w:r>
        <w:rPr>
          <w:b/>
        </w:rPr>
        <w:t>E. 3</w:t>
      </w:r>
    </w:p>
    <w:p>
      <w:r>
        <w:t>Le recourant fait grief au Tribunal de protection d'avoir ordonné la suspension des relations personnelles entre lui-même et ses deux filles, y compris sous la forme de contacts téléphoniques.</w:t>
      </w:r>
    </w:p>
    <w:p>
      <w:r>
        <w:t>3.1.1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5A_184/2017 du 9 juin 2017 consid. 4.1 et les références citées).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 5A_586/2012 du 12 décembre 2012 consid. 4.2).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arrêts du Tribunal fédéral 5A_618/2017 du 2 février 2018 consid. 4.2; 5A_699/2017 du 24 octobre 2017 consid. 5.1; 5A_184/2017 du 9 juin 2017 consid. 4.1 et les références citées). Si, en revanche, le préjudice</w:t>
      </w:r>
    </w:p>
    <w:p>
      <w:r>
        <w:t>- 11/14 -</w:t>
      </w:r>
    </w:p>
    <w:p>
      <w:r>
        <w:t>C/11710/2021-CS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5A_618/2017 du 2 février 2018 consid. 4.2; 5A_699/2017 du 24 octobre 2017 consid. 5.1; 5A_184/2017 du 9 juin 2017 consid. 4.1 et les références citées).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5A_618/2017 du 2 février 2018 consid. 4.2; 5A_699/2017 du 24 octobre 2017 consid. 5.1; 5A_184/2017 du 9 juin 2017 consid. 4.1).</w:t>
      </w:r>
    </w:p>
    <w:p>
      <w:r>
        <w:t>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w:t>
      </w:r>
    </w:p>
    <w:p>
      <w:r>
        <w:t>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5A_459/2015 du 13 août 2015 consid. 6.2.2).</w:t>
      </w:r>
    </w:p>
    <w:p>
      <w:r>
        <w:t>3.1.2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arrêts du Tribunal fédéral 5A_277/2021 du 30 novembre 2021 consid. 4.1.2; 5A_381/2020 du 1er septembre 2020 consid. 4.1).</w:t>
      </w:r>
    </w:p>
    <w:p>
      <w:r>
        <w:t>Il peut toutefois s'écarter des conclusions d'un rapport établi par un tel service à des conditions moins strictes que celles applicables lorsqu'il s'agit d'une expertise judiciaire (arrêts du Tribunal fédéral 5A_277/2021 du 30 novembre 2021 consid. 4.1.2, 5A_381/2020 du 1er septembre 2020 consid. 4.1 et 5A_756/2019 du 13 février 2020 consid. 3.1.1).</w:t>
      </w:r>
    </w:p>
    <w:p>
      <w:r>
        <w:t>- 12/14 -</w:t>
      </w:r>
    </w:p>
    <w:p>
      <w:r>
        <w:t>C/11710/2021-CS</w:t>
      </w:r>
    </w:p>
    <w:p>
      <w:r>
        <w:rPr>
          <w:b/>
        </w:rPr>
        <w:t>E. 3.2</w:t>
      </w:r>
    </w:p>
    <w:p>
      <w:r>
        <w:t>En l'espèce, la décision du Tribunal de protection d'ordonner la suspension des relations personnelles entre le recourant et ses filles doit être confirmée.</w:t>
      </w:r>
    </w:p>
    <w:p>
      <w:r>
        <w:t>En effet, il ressort du dossier que les relations personnelles entre le recourant et ses enfants représentent une source d'angoisse pour les mineures. Dans son rapport du 1er octobre 2021, le SPMi avait déjà identifié des problèmes liés au comportement du recourant avec ses filles et pu constater la souffrance des enfants. De nombreuses mesures ont été prises pour améliorer ce lien père-filles, notamment la fixation d'un droit de visite en présence d'un tiers de confiance ainsi qu'en milieu thérapeutique, et la mise en place d'une curatelle d'organisation et de surveillance des relations personnelles. Celles-ci n'ont toutefois pas suffi à améliorer le bien-être des mineures.</w:t>
      </w:r>
    </w:p>
    <w:p>
      <w:r>
        <w:t>Dans ses rapports de 2022, le SPMi a ainsi constaté que l'état psychique de G______ et H______ demeurait fragile, celles-ci exprimant des "idées noires" (notamment "spirale d'enfer", "fatigue mentale", plus envie de vivre) et que les mineures estimaient toujours que leur père était la source de leur mal-être et de leurs traumatismes. Ceci est confirmé par les comptes rendus de psychologues figurant dans le rapport complémentaire du 10 mars 2022. Lors de leur audition par le Tribunal de protection, les mineures ont tenu des propos particulièrement inquiétants, celles-ci ayant notamment confié s'infliger des blessures en raison de leur mal-être. L'une comme l'autre ont d'ailleurs sollicité la suspension du droit de visite de leur père, indiquant qu'elles souhaitaient "prendre le temps" d'aller mieux.</w:t>
      </w:r>
    </w:p>
    <w:p>
      <w:r>
        <w:t>Certes, B______ a attesté, le 9 mars 2022, que le père parvenait à maintenir son calme face à la colère de ses deux enfants. Toutefois, il ressort également de ce document que les mineures sont encore trop en colère pour pouvoir construire des relations saines avec leur père et que seules trois visites ont pu être dispensées. Contrairement à ce que prétend le recourant, ce document à lui seul ne permet pas d'établir que le père disposerait des compétences parentales nécessaires à la reprise de relations personnelles avec ses filles, et que celles-ci seraient dans l'intérêt de ces dernières.</w:t>
      </w:r>
    </w:p>
    <w:p>
      <w:r>
        <w:t>Par ailleurs, le fait que le SPMi n'ait pas préavisé la suspension de toutes relations personnelles du père sur ses filles n'est pas déterminant puisque ces conclusions ont été prises avant que les mineures ne sollicitent, le 28 février 2022, la suspension immédiate des visites médiatisées. Bien que s'écartant des conclusions du rapport du 1er février 2022, le Tribunal de protection s'est toutefois fondé sur les éléments y figurant ainsi que sur les déclarations des mineures pour prononcer une mesure de protection opportune et proportionnée.</w:t>
      </w:r>
    </w:p>
    <w:p>
      <w:r>
        <w:t>A cela s'ajoute que G______ et H______ vont mieux depuis qu'elles ne voient plus leur père.</w:t>
      </w:r>
    </w:p>
    <w:p>
      <w:r>
        <w:t>- 13/14 -</w:t>
      </w:r>
    </w:p>
    <w:p>
      <w:r>
        <w:t>C/11710/2021-CS</w:t>
      </w:r>
    </w:p>
    <w:p>
      <w:r>
        <w:t>Au vu de ce qui précède, le Tribunal de protection n'a pas violé le principe de proportionnalité et a respecté le principe cardinal de l'intérêt de l'enfant dans la fixation des relations personnelles en prenant la décision de suspendre complètement le droit de visite du recourant sur ses filles. Tant le rapport du SPMi et les déclarations des psychologues qui y sont contenues, que les affirmations claires et répétées des mineures, âgées de 13 et 15 ans, conduisent à considérer un maintien contraint des relations entre les enfants et leur père (ou plutôt un rétablissement contraint des relations, compte tenu de l'interruption des visites) comme une source de déstabilisation et de mise en danger de leur développement psychique. Il était dès lors parfaitement dans leur intérêt de suspendre toutes relations personnelles avec leur père.</w:t>
      </w:r>
    </w:p>
    <w:p>
      <w:r>
        <w:t>Il y a lieu de rappeler que cette suspension n'est, a priori, que temporaire, la question pouvant être réexaminée en cas de changement de circonstances, notamment lorsque le recourant aura bénéficié d'un suivi psychiatrique régulier et entrepris une guidance parentale lui permettant de renouer un dialogue constructif avec ses filles et reconnaître sa part de responsabilité dans la situation actuelle, ainsi que d'appréhender les besoins affectifs et psychologiques des enfants, ce qu'il ne semble pas être en mesure de faire à ce stade. Les allégations faites par le recourant dans le cadre de son recours au sujet des efforts qu'il fournirait en vue d'une reprise de lien avec G______ et H______ ne permettent pas de retenir que des relations personnelles, même encadrées, soient en l'état dans l'intérêt des mineures. Le recourant est toutefois encouragé à poursuivre ses efforts afin d'améliorer son état de santé psychique avant de requérir une telle reprise.</w:t>
      </w:r>
    </w:p>
    <w:p>
      <w:r>
        <w:t>Le recours, infondé, sera rejeté et l'ordonnance attaquée confirmée.</w:t>
      </w:r>
    </w:p>
    <w:p>
      <w:r>
        <w:rPr>
          <w:b/>
        </w:rPr>
        <w:t>E. 4</w:t>
      </w:r>
    </w:p>
    <w:p>
      <w:r>
        <w:t>La procédure, qui porte sur la question des relations personnelles, n'est pas gratuite (art. 77 LaCC). Les frais judiciaires de recours, arrêtés à 400 fr., seront mis à la charge du recourant qui succombe et compensés avec l'avance de frais effectuée, qui reste acquise à l'Etat de Genève.</w:t>
      </w:r>
    </w:p>
    <w:p>
      <w:r>
        <w:t>Il n'est pas alloué de dépens. * * * * *</w:t>
      </w:r>
    </w:p>
    <w:p>
      <w:r>
        <w:t>- 14/14 -</w:t>
      </w:r>
    </w:p>
    <w:p>
      <w:r>
        <w:t>C/11710/2021-CS PAR CES MOTIFS, La Chambre de surveillance : A la forme : Déclare recevable le recours formé le 25 avril 2022 par A______ contre l'ordonnance DTAE/1775/2022 rendue le 14 mars 2022 par le Tribunal de protection de l'adulte et de l'enfant dans la cause C/11710/2021. Au fond : Le rejette et confirme l'ordonnance entreprise. Sur les frais : Arrête les frais judiciaires de recours à 400 fr., les met à la charge de A______ et les compense avec l'avance de frais de même montant fournie, laquelle reste acquise à l'Etat de Genève.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