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DAS/196/2023 vom 24. Juni 2023</w:t>
      </w:r>
    </w:p>
    <w:p>
      <w:r>
        <w:t>GE Cour de justice, 2023-06-24, FR</w:t>
      </w:r>
    </w:p>
    <w:p>
      <w:r>
        <w:rPr>
          <w:b/>
        </w:rPr>
        <w:t xml:space="preserve">Quelle: </w:t>
      </w:r>
      <w:r>
        <w:t>https://mcp.opencaselaw.ch/entscheid/ge_gerichte_DAS_196_2023</w:t>
      </w:r>
    </w:p>
    <w:p>
      <w:r>
        <w:t>FR: GE_GERICHTE DAS/196/2023 du 24 juin 2023</w:t>
      </w:r>
    </w:p>
    <w:p>
      <w:r>
        <w:t>IT: GE_GERICHTE DAS/196/2023 del 24 giugno 2023</w:t>
      </w:r>
    </w:p>
    <w:p>
      <w:pPr>
        <w:pStyle w:val="Heading2"/>
      </w:pPr>
      <w:r>
        <w:t>Volltext</w:t>
      </w:r>
    </w:p>
    <w:p>
      <w:r>
        <w:t>REPUBLIQUE ET</w:t>
      </w:r>
    </w:p>
    <w:p>
      <w:r>
        <w:t>CANTON DE GENEVE POUVOIR JUDICIAIRE C/4799/2023-CS DAS/196/2023 DECISION DE LA COUR DE JUSTICE Chambre de surveillance DU MERCREDI 16 AOÛT 2023</w:t>
      </w:r>
    </w:p>
    <w:p>
      <w:r>
        <w:t>Recours (C/4799/2023-CS) formé en date du 24 juin 2023 par Madame A______, domiciliée ______ (Genève), comparant en personne. * * * * * Décision communiquée par plis recommandés du greffier du 17 août 2023 à : - Madame A______ ______, ______. - Maître B______ ______, ______. - Maître C______ ______, ______. - TRIBUNAL DE PROTECTION DE L'ADULTE ET DE L'ENFANT.</w:t>
      </w:r>
    </w:p>
    <w:p>
      <w:r>
        <w:t>- 2/4 -</w:t>
      </w:r>
    </w:p>
    <w:p>
      <w:r>
        <w:t>C/4799/2023-CS Vu, EN FAIT, la procédure C/4799/2023 relative à A______, née le ______ 1977, de nationalité moldave; Attendu que par ordonnance DTAE/4383/2023 rendue le 5 juin 2023, le Tribunal de protection de l'adulte et de l'enfant a, sur mesures provisionnelles, institué une curatelle de représentation et de gestion en faveur de A______ (ch. 1 du dispositif), désigné B______, avocate, aux fonctions de curatrice (ch. 2), confié à la curatrice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limité l’exercice des droits civils de la personne concernée (ch. 4), privé la personne concernée de l’accès à toute relation bancaire ou à tout coffre-fort, en son nom ou dont elle est ayant-droit économique et révoqué toute procuration établie au bénéfice de tiers (ch. 5), autorisé la curatrice à prendre connaissance de la correspondance de la personne concernée, dans les limites du mandat, et, si nécessaire, à pénétrer dans son logement (ch. 6), autorisé la curatrice à représenter la personne concernée dans la cause 1______/2023 pendante par-devant le Tribunal fédéral (ch. 7), arrêté les frais judiciaires à 200 fr. et mis ces derniers à la charge de la personne concernée, la suite de la procédure étant réservée (ch. 8 et 9); Que ladite décision a été communiquée aux parties pour notification le 14 juin 2023; Que par acte du 24 juin 2023 adressé à la Chambre de surveillance de la Cour de justice, A______ a formé recours contre cette décision; Que par décision DCJC/654/2023 du 26 juin 2023, la Chambre de surveillance de la Cour de justice a imparti à A______ un délai au 12 juillet 2023 pour verser une avance de frais fixée à 400 fr.; Que cette décision étant revenue avec la mention "non réclamée", celle-ci a été réexpédiée par pli prioritaire à A______ le 7 juillet 2023; Que par décision DCJC/728/2023 du 19 juillet 2023, un délai supplémentaire au 31 juillet 2023 a été accordé à A______ pour le paiement de l'avance de frais, avec la mention que faute pour elle d'effectuer ledit paiement dans le délai imparti, le recours serait déclaré irrecevable; Que cette décision étant revenue avec la mention "non réclamée", celle-ci a été réexpédiée par pli prioritaire à A______ le 2 août 2023; Que selon attestation des Services financiers du Pouvoir judiciaire du 14 août 2023, aucun paiement n’est intervenu dans le délai imparti;</w:t>
      </w:r>
    </w:p>
    <w:p>
      <w:r>
        <w:t>- 3/4 -</w:t>
      </w:r>
    </w:p>
    <w:p>
      <w:r>
        <w:t>C/4799/2023-CS Que par ailleurs, aucune demande d'assistance judiciaire n'a été déposée, selon confirmation écrite du Service de l'assistance juridique du 15 août 2023;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Qu'en l'espèce, la procédure n'est pas gratuite (art. 19 al. 1 LaCC; 67A et B du Règlement fixant le tarif des frais en matière civile);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C/4799/2023-CS PAR CES MOTIFS, La Chambre de surveillance :</w:t>
      </w:r>
    </w:p>
    <w:p>
      <w:r>
        <w:t>Déclare irrecevable le recours formé le 24 juin 2023 par A______ contre l'ordonnance DTAE/4383/2023 rendue le 5 juin 2023 par le Tribunal de protection de l'adulte et de l'enfant dans la cause C/4799/2023. Renonce à percevoir un émolument. Siégeant : Madame Ursula ZEHETBAUER GHAVAMI, présidente; Mesdames Fabienne GEISINGER-MARIÉTHOZ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