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DAS/195/2021 vom 11. August 2021</w:t>
      </w:r>
    </w:p>
    <w:p>
      <w:r>
        <w:t>GE Cour de justice, 2021-08-11, FR</w:t>
      </w:r>
    </w:p>
    <w:p>
      <w:r>
        <w:rPr>
          <w:b/>
        </w:rPr>
        <w:t xml:space="preserve">Quelle: </w:t>
      </w:r>
      <w:r>
        <w:t>https://mcp.opencaselaw.ch/entscheid/ge_gerichte_DAS_195_2021</w:t>
      </w:r>
    </w:p>
    <w:p>
      <w:r>
        <w:t>FR: GE_GERICHTE DAS/195/2021 du 11 août 2021</w:t>
      </w:r>
    </w:p>
    <w:p>
      <w:r>
        <w:t>IT: GE_GERICHTE DAS/195/2021 del 11 agosto 2021</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la représentante légale de la mineure ayant fait l'objet de la mesure de protection contestée, dans le délai utile de 30 jours et suivant la forme prescrite, le recours est recevable (art. 450 al. 2 et 3 et 450b CC).</w:t>
      </w:r>
    </w:p>
    <w:p>
      <w:r>
        <w:rPr>
          <w:b/>
        </w:rPr>
        <w:t>E. 1.2</w:t>
      </w:r>
    </w:p>
    <w:p>
      <w:r>
        <w:t>Compte tenu de la matière, soumise aux maximes inquisitoire et d'office illimitées, la cognition de la Chambre de surveillance est complète. Elle n'est pas liée par les conclusions des parties (art. 446 CC).</w:t>
      </w:r>
    </w:p>
    <w:p>
      <w:r>
        <w:rPr>
          <w:b/>
        </w:rPr>
        <w:t>E. 2.1</w:t>
      </w:r>
    </w:p>
    <w:p>
      <w:r>
        <w:t>Aux termes de l'art. 306 al. 2 CC, si les père et mère sont empêchés d'agir ou si, dans une affaire, leurs intérêts entrent en conflit avec ceux de l'enfant, l'autorité de protection de l'enfant nomme un curateur ou prend elle-même les mesures nécessaires.</w:t>
      </w:r>
    </w:p>
    <w:p>
      <w:r>
        <w:t>Cette disposition s'applique de manière large aussitôt que le représentant légal n'est pas en mesure de représenter l'enfant au mieux de ses intérêts dans une affaire particulière, que le conflit soit concret ou abstrait, direct ou indirect. Le conflit dont l'existence est effectivement établie est concret, mais un simple</w:t>
      </w:r>
    </w:p>
    <w:p>
      <w:r>
        <w:t>- 4/5 -</w:t>
      </w:r>
    </w:p>
    <w:p>
      <w:r>
        <w:t>C/5377/2021-CS risque est suffisant (conflit dit abstrait) (PERRIN, CR, Code civil I, ad art. 306 n. 5). Un curateur doit être désigné à l'enfant notamment en cas de partage d'une succession dont l'enfant est héritier en concours avec son père ou sa mère (ATF 68 II 342 = JdT 1943 I 354; MONTAVON, Abrégé de droit civil, Art. 1er à 640 CC / LPart, Schulthess 2013, p. 411).</w:t>
      </w:r>
    </w:p>
    <w:p>
      <w:r>
        <w:rPr>
          <w:b/>
        </w:rPr>
        <w:t>E. 2.2</w:t>
      </w:r>
    </w:p>
    <w:p>
      <w:r>
        <w:t>En l'espèce, la recourante et sa fille sont toutes deux héritières de feu leur époux et père. De facto, il existe par conséquent un potentiel conflit d'intérêts entre elles, ce qui justifie la nomination d'un curateur chargé de représenter la mineure dans la succession de son père et de défendre au mieux ses intérêts, y compris pour décider d'une éventuelle répudiation si d'aventure la succession devait être déficitaire. Le fait que la recourante se soit toujours occupée de manière adéquate de l'enfant n'est, en l'espèce, ni remis en cause, ni pertinent. Seul compte en effet, conformément à la doctrine et à la jurisprudence mentionnées ci-dessus, l'existence d'un conflit d'intérêts, même abstrait, entre la recourante et sa fille. La recourante ne saurait davantage s'opposer à la nomination d'un curateur pour des motifs financiers, ceux-ci ne pouvant faire obstacle à la nécessité de protéger les intérêts d'un mineur. Pour le surplus, la recourante n'a formulé aucune critique à l'encontre de la personne du curateur, qui exerce la profession d'avocat et dispose par conséquent des connaissances nécessaires pour exécuter le mandat qui lui a été confié. Infondé, le recours sera rejeté.</w:t>
      </w:r>
    </w:p>
    <w:p>
      <w:r>
        <w:rPr>
          <w:b/>
        </w:rPr>
        <w:t>E. 3</w:t>
      </w:r>
    </w:p>
    <w:p>
      <w:r>
        <w:t>Les frais de la procédure seront arrêtés à 400 fr. et mis à la charge de la recourante qui succombe (art. 106 al. 1 CPC et 67A du règlement fixant le tarif des frais en matière civile); ils seront compensés avec l'avance effectuée par la recourante (art. 111 al. 1 CPC) qui reste acquise à l'Etat de Genève. * * * * *</w:t>
      </w:r>
    </w:p>
    <w:p>
      <w:r>
        <w:t>- 5/5 -</w:t>
      </w:r>
    </w:p>
    <w:p>
      <w:r>
        <w:t>C/5377/2021-CS PAR CES MOTIFS, La Chambre de surveillance : A la forme : Déclare recevable le recours formé par A______ contre l'ordonnance DTAE/4399/2021 du 5 août 2021 rendue par le Tribunal de protection de l'adulte et de l'enfant dans la cause C/5377/2021. Au fond : Le rejette. Sur les frais : Arrête les frais judiciaires de la procédure de recours à 400 fr., les met à la charge de A______ et les compense avec l'avance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