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DAS/195/2020 vom 20. November 2020</w:t>
      </w:r>
    </w:p>
    <w:p>
      <w:r>
        <w:t>GE Cour de justice, 2020-11-20, FR</w:t>
      </w:r>
    </w:p>
    <w:p>
      <w:r>
        <w:rPr>
          <w:b/>
        </w:rPr>
        <w:t xml:space="preserve">Quelle: </w:t>
      </w:r>
      <w:r>
        <w:t>https://mcp.opencaselaw.ch/entscheid/ge_gerichte_DAS_195_2020</w:t>
      </w:r>
    </w:p>
    <w:p>
      <w:r>
        <w:t>FR: GE_GERICHTE DAS/195/2020 du 20 novembre 2020</w:t>
      </w:r>
    </w:p>
    <w:p>
      <w:r>
        <w:t>IT: GE_GERICHTE DAS/195/2020 del 20 novembre 2020</w:t>
      </w:r>
    </w:p>
    <w:p>
      <w:pPr>
        <w:pStyle w:val="Heading2"/>
      </w:pPr>
      <w:r>
        <w:t>Erwägungen</w:t>
      </w:r>
    </w:p>
    <w:p>
      <w:r>
        <w:rPr>
          <w:b/>
        </w:rPr>
        <w:t>E. 1.1</w:t>
      </w:r>
    </w:p>
    <w:p>
      <w:r>
        <w:t>Les décisions du juge de paix, qui relèvent de la juridiction gracieuse et sont soumises à la procédure sommaire (art. 248 let. e CPC) sont susceptibles d'un appel dans le délai de dix jours (art. 314 al. 1 CPC) auprès de la Chambre civile de la Cour de justice (art. 120 al. 2 LOJ) si la valeur litigieuse est égale ou supérieure à 10'000 fr. (art. 308 al. 2 CPC). L'appel doit être écrit et motivé (art. 311 al. 1 CPC).</w:t>
      </w:r>
    </w:p>
    <w:p>
      <w:r>
        <w:rPr>
          <w:b/>
        </w:rPr>
        <w:t>E. 1.2</w:t>
      </w:r>
    </w:p>
    <w:p>
      <w:r>
        <w:t>En l'espèce, l'appel, formé dans le délai et selon la forme prescrits par la loi (art. 130, 131, 311 al. 1 CPC) est formellement recevable, la valeur de la succession étant sans aucun doute supérieure à 10'000 fr. vu le bien immobilier qui en fait partie.</w:t>
      </w:r>
    </w:p>
    <w:p>
      <w:r>
        <w:rPr>
          <w:b/>
        </w:rPr>
        <w:t>E. 1.3</w:t>
      </w:r>
    </w:p>
    <w:p>
      <w:r>
        <w:t>La Cour, compétente pour en connaître revoit la cause en fait et en droit et avec un plein pouvoir d'examen (art. 310 CPC).</w:t>
      </w:r>
    </w:p>
    <w:p>
      <w:r>
        <w:rPr>
          <w:b/>
        </w:rPr>
        <w:t>E. 2</w:t>
      </w:r>
    </w:p>
    <w:p>
      <w:r>
        <w:t>Comme dit précédemment, l'appelante fait grief au juge de paix d'avoir violé la disposition de l'art. 554 al. 1 CC en ordonnant la mesure prononcée.</w:t>
      </w:r>
    </w:p>
    <w:p>
      <w:r>
        <w:rPr>
          <w:b/>
        </w:rPr>
        <w:t>E. 2.1</w:t>
      </w:r>
    </w:p>
    <w:p>
      <w:r>
        <w:t>Selon l'art. 554 al. 1 CC, l'autorité ordonne l'administration d'office de la succession en cas d'absence prolongée d'un héritier qui n'a pas laissé de fondé de pouvoirs, si cette mesure est commandée par l'intérêt de l'absent (ch. 1), lorsque aucun de ceux qui prétendent à la succession ne peut apporter une preuve suffisante de ses droits ou s'il est incertain qu'il y ait un héritier (ch. 2), lorsque tous les héritiers du défunt ne sont pas connus (ch. 3), ainsi que dans les autres cas prévus par la loi (ch. 4).</w:t>
      </w:r>
    </w:p>
    <w:p>
      <w:r>
        <w:t>L'art. 554 al. 1 ch. 4 CC n'est pas une réserve en faveur du droit cantonal, mais renvoi exclusivement aux autres règles de droit fédéral qui prévoient l'administration d'office de la succession, à savoir les art. 490 al. 3, 556 al. 3, 598 et 604 al. 3 CC (KARRER/VOGT/LEU, Basler Kommentar ZGB II, 4ème édition 2011 n. 17 ad art. 554 CC).</w:t>
      </w:r>
    </w:p>
    <w:p>
      <w:r>
        <w:t>- 5/6 -</w:t>
      </w:r>
    </w:p>
    <w:p>
      <w:r>
        <w:t>C/14500/2020 Lorsque des dispositions de dernières volontés lui sont soumises, l'autorité peut ainsi ordonner l'administration d'office de la succession (art. 556 al. 3 CC) sans que les conditions des art. 554 al. 1 ch. 1 à 3 CC ne soient remplies. L'autorité doit ordonner l'administration d'office à défaut d'héritiers légaux auquel l'administration des biens peut être confiée ou lorsqu'elle considère que la gestion provisoire par les héritiers légaux ou par l'exécuteur testamentaire représente un risque particulier pour la délivrance de biens aux héritiers (MEIER/RAYMOND- EINIEVA CR-CC II n. 15 ad art. 556 CC).</w:t>
      </w:r>
    </w:p>
    <w:p>
      <w:r>
        <w:rPr>
          <w:b/>
        </w:rPr>
        <w:t>E. 2.2</w:t>
      </w:r>
    </w:p>
    <w:p>
      <w:r>
        <w:t>En l'espèce, le juge de paix a considéré, sur le vu du seul courrier à lui adressé par B______, qu'il existait un risque d'atteinte à la dévolution de l'hérédité en cas de gestion provisoire de la succession par l'appelante. De ce fait, il a étendu de manière injustifiée le champ d'application de la disposition de l'art. 556 al. 3 CC. En effet, le principe posé par cette disposition veut qu'après la remise du testament, les héritiers légaux soient envoyés en possession provisoire, de sorte qu'ils disposent en conséquence de l'administration provisoire de la succession. A titre exceptionnel, et comme mesure de sûreté destinée à assurer la dévolution de la succession, en cas de conflit d'intérêts ou de risque potentiel pour les droits d'autres héritiers ou de tiers (p.ex légataires), l'administration d'office peut être ordonnée. Or, dans le cas présent, le juge de paix a pris la mesure contestée sur la base de la seule annonce d'une possible contestation des dispositions testamentaires du défunt par un héritier potentiel non réservataire (art. 462 ch. 3 CC), qui, en l'état, ne peut prétendre à aucun droit dans la succession. Par ailleurs, si et pour autant qu'une action en annulation des dispositions testamentaires soit introduite et gagnée, il n'est en rien rendu vraisemblable que l'envoi en possession provisoire en faveur de l'appelante, héritière légale et instituée, présenterait un risque quelconque que les droits des éventuels autres héritiers soient mis en péril de ce fait. Par conséquent et dans la mesure où la décision querellée se fonde sur des conjectures sans substance, elle doit être annulée.</w:t>
      </w:r>
    </w:p>
    <w:p>
      <w:r>
        <w:rPr>
          <w:b/>
        </w:rPr>
        <w:t>E. 3</w:t>
      </w:r>
    </w:p>
    <w:p>
      <w:r>
        <w:t>La mesure de sûreté prononcée par le juge de paix étant annulée, les frais de la procédure d'appel, arrêtés à 500,- fr seront supportés par l'Etat de Genève. L'avance de frais de même montant versée par l'appelante lui sera en conséquence restituée. Il ne sera pas alloué de dépens.</w:t>
      </w:r>
    </w:p>
    <w:p>
      <w:r>
        <w:t>* * * * *</w:t>
      </w:r>
    </w:p>
    <w:p>
      <w:r>
        <w:t>- 6/6 -</w:t>
      </w:r>
    </w:p>
    <w:p>
      <w:r>
        <w:t>C/14500/2020 PAR CES MOTIFS, La Chambre civile : A la forme : Déclare recevable l'appel déposé le 16 octobre 2020 par A______ contre la décision DJP/379/2020 rendue le 6 octobre 2020 par la Justice de paix dans la cause C/14500/2020. Au fond : Annule cette décision. Arrête les frais à 500 fr., et les laisse à la charge de l'Etat de Genève. Ordonne aux Services financiers du Pouvoir judiciaire de restituer à A______ la somme de 500 fr. versée à titre d'avance de frais. Dit qu'il n'est pas alloué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