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DAS/194/2018 vom 27. Juni 2016</w:t>
      </w:r>
    </w:p>
    <w:p>
      <w:r>
        <w:t>GE Cour de justice, 2016-06-27, FR</w:t>
      </w:r>
    </w:p>
    <w:p>
      <w:r>
        <w:rPr>
          <w:b/>
        </w:rPr>
        <w:t xml:space="preserve">Quelle: </w:t>
      </w:r>
      <w:r>
        <w:t>https://mcp.opencaselaw.ch/entscheid/ge_gerichte_DAS_194_2018</w:t>
      </w:r>
    </w:p>
    <w:p>
      <w:r>
        <w:t>FR: GE_GERICHTE DAS/194/2018 du 27 juin 2016</w:t>
      </w:r>
    </w:p>
    <w:p>
      <w:r>
        <w:t>IT: GE_GERICHTE DAS/194/2018 del 27 giugno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L'enfant est soumis, pendant sa minorité, à l'autorité parentale conjointe de ses père et mère (art. 296 al. 2 CC, entré en vigueur le 1er juillet 2014).</w:t>
      </w:r>
    </w:p>
    <w:p>
      <w:r>
        <w:t>- 10/13 -</w:t>
      </w:r>
    </w:p>
    <w:p>
      <w:r>
        <w:t>C/1847/2013-CS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 FRINGELI/VOGEL, Berner Kommentar, 2016, n° 52 ad art. 298b CC et n° 9 ad art. 298d CC et les références; MEIER/STETTLER, Droit de la filiation, 5e éd. 2014, n. 523 p. 352). 2.1.2 L'autorité parentale inclut le droit de déterminer le lieu de résidence de l'enfant (art. 301a al. 1 CC). Lorsqu'elle statue sur l'autorité parentale, l'autorité de protection de l'enfant règle également les autres points litigieux. L'action alimentaire est réservée (art. 298b al. 3 CC). 2.1.3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w:t>
      </w:r>
    </w:p>
    <w:p>
      <w:r>
        <w:t>- 11/13 -</w:t>
      </w:r>
    </w:p>
    <w:p>
      <w:r>
        <w:t>C/1847/2013-CS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1er décembre 2016 consid. 3.1). 2.2.1 Dans le cas d'espèce, les parents de l'enfant F______, né avant l'entrée en vigueur du nouveau droit, n'ont jamais été mariés; la mère était initialement seule titulaire de l'autorité parentale. Le père a sollicité l'octroi de l'autorité parentale conjointe ainsi que la garde du mineur au mois de mars 2017, soit après la fin du délai transitoire, alors que son fils était placé à G______ depuis le mois de mai 2016. Le Tribunal de protection a considéré, à raison, que les faits nouveaux survenus dans la vie des parents et de leur fils justifiaient l'attribution de l'autorité parentale conjointe, laquelle était dans l'intérêt du mineur; la mère ne s'y est d'ailleurs pas formellement opposée. Ce point, qui n'est pas contesté devant la Chambre de surveillance, est par conséquent acquis. 2.2.2 C'est également à juste titre que le Tribunal de protection a confié à C______ la garde de l'enfant. Il résulte de la procédure que dans le courant du mois de mai 2016 le mineur F______ a dû être placé en foyer, sa mère n'étant plus en mesure de lui fournir un cadre de vie adéquat, notamment en termes de logement, en raison des difficultés personnelles qu'elle rencontrait. C______, lequel bénéficie d'une situation stable, s'est peu à peu mobilisé en faveur de son fils, avec lequel il a noué une relation décrite comme très forte par divers intervenants. Il a par ailleurs emménagé dans un appartement qui lui permet désormais d'accueillir F______ dans de bonnes conditions et bénéficie du mercredi de congé. Il a en outre trouvé une solution pour la prise en charge du mineur lorsque celui-ci n'est pas à l'école et que lui- même est au travail, J______ ayant confirmé, lors de son audition par le Tribunal de protection, être prête à s'occuper de F______, qu'elle connaissait déjà. Il ressort enfin du dossier que C______ collabore volontiers avec les services sociaux. Il est certes établi que la recourante et son fils entretiennent une bonne relation et que la première est très attachée à l'enfant. Sa situation personnelle s'est également améliorée, puisqu'elle a entrepris une formation et a trouvé un appartement, ce qui lui a permis de quitter le domicile de sa mère. Il appert toutefois que la recourante n'a pas encore réglé de manière satisfaisante ses difficultés personnelles, puisqu'elle a récemment connu une période de mal-être qui l'a conduite à consommer de l'alcool de manière excessive et à adopter des comportements agressifs et inadéquats à l'égard de différents intervenants, la situation ayant nécessité la suspension provisoire de son droit de visite, la reprise et la poursuite</w:t>
      </w:r>
    </w:p>
    <w:p>
      <w:r>
        <w:t>- 12/13 -</w:t>
      </w:r>
    </w:p>
    <w:p>
      <w:r>
        <w:t>C/1847/2013-CS de celui-ci ayant été soumis à conditions. La recourante ne semble par conséquent pas encore en mesure d'assumer la garde quotidienne d'un enfant de six ans. Or, F______ a passé environ deux ans au sein de G______. Il aurait été contraire à son intérêt de poursuivre son placement, qu'il supportait de plus en plus mal, alors que son père était en mesure de l'accueillir chez lui. L'attribution de la garde de l'enfant à son père implique certes qu'il quitte l'environnement auquel il est habitué à Genève. Le mineur se rend toutefois d'ores et déjà au ______ le week-end ou pour des périodes de vacances et il a par ailleurs manifesté de la joie à l'annonce de son installation chez C______. Quant à son suivi thérapeutique, il pourra être organisé sans difficulté par les Services compétent du ______. Le chiffre 2 du dispositif du jugement attaqué doit dès lors être confirmé.</w:t>
      </w:r>
    </w:p>
    <w:p>
      <w:r>
        <w:rPr>
          <w:b/>
        </w:rPr>
        <w:t>E. 2.3</w:t>
      </w:r>
    </w:p>
    <w:p>
      <w:r>
        <w:t>Le chiffre 3 de ce même dispositif, qui concerne le droit de visite de la recourante, a été remplacé par la décision rendue le 30 juillet 2018 par le Tribunal de protection, de sorte que le recours est devenu sans objet sur ce point.</w:t>
      </w:r>
    </w:p>
    <w:p>
      <w:r>
        <w:rPr>
          <w:b/>
        </w:rPr>
        <w:t>E. 2.4</w:t>
      </w:r>
    </w:p>
    <w:p>
      <w:r>
        <w:t>Quant aux autres points du dispositif de l'ordonnance attaquée, soit chiffres</w:t>
      </w:r>
    </w:p>
    <w:p>
      <w:r>
        <w:rPr>
          <w:b/>
        </w:rPr>
        <w:t>E. 2.5</w:t>
      </w:r>
    </w:p>
    <w:p>
      <w:r>
        <w:t>Au vu de ce qui précède, le recours, totalement infondé, sera rejeté. 3. Les frais de la procédure de recours, arrêtés à 600 fr., y compris la décision rendue sur effet suspensif (art. 19, 22 LaCC; 67A et B RTFMC), seront mis à la charge de la recourante, qui succombe. Celle-ci sera par conséquent condamnée à les verser à l'Etat de Genève, soit pour lui les Services financiers du Pouvoir judiciaire. * * * * *</w:t>
      </w:r>
    </w:p>
    <w:p>
      <w:r>
        <w:t>- 13/13 -</w:t>
      </w:r>
    </w:p>
    <w:p>
      <w:r>
        <w:t>C/1847/2013-CS PAR CES MOTIFS, La Chambre de surveillance : A la forme : Déclare recevable le recours formé par A______ contre l'ordonnance DTAE/2343/2018 rendue le 23 avril 2018 par le Tribunal de protection de l'adulte et de l'enfant dans la cause C/1847/2013-5. Au fond : Le rejette. Sur les frais : Arrête les frais judiciaires du recours à 600 fr. et les met à la charge de A______. Condamne en conséquence A______ à verser la somme de 600 fr. à l'Etat de Genève, soit pour lui les Services financiers du Pouvoir judiciaire.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(intervention de type AEMO), 13 (suivi thérapeutique de l'enfant), 14 (bonification pour tâches éducatives), 15 (transmission du dossier à l'autorité compétente du canton de Neuchâtel) et 17 (fixation et répartition des frais), ils n'ont pas en tant que tels été formellement critiqués par la recourante et sont conformes à l'intérêt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