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DAS/194/2014 vom 20. Oktober 2014</w:t>
      </w:r>
    </w:p>
    <w:p>
      <w:r>
        <w:t>GE Cour de justice, 2014-10-20, FR</w:t>
      </w:r>
    </w:p>
    <w:p>
      <w:r>
        <w:rPr>
          <w:b/>
        </w:rPr>
        <w:t xml:space="preserve">Quelle: </w:t>
      </w:r>
      <w:r>
        <w:t>https://mcp.opencaselaw.ch/entscheid/ge_gerichte_DAS_194_2014</w:t>
      </w:r>
    </w:p>
    <w:p>
      <w:r>
        <w:t>FR: GE_GERICHTE DAS/194/2014 du 20 octobre 2014</w:t>
      </w:r>
    </w:p>
    <w:p>
      <w:r>
        <w:t>IT: GE_GERICHTE DAS/194/2014 del 20 ottobre 2014</w:t>
      </w:r>
    </w:p>
    <w:p>
      <w:pPr>
        <w:pStyle w:val="Heading2"/>
      </w:pPr>
      <w:r>
        <w:t>Erwägungen</w:t>
      </w:r>
    </w:p>
    <w:p>
      <w:r>
        <w:rPr>
          <w:b/>
        </w:rPr>
        <w:t>E. 1</w:t>
      </w:r>
    </w:p>
    <w:p>
      <w:r>
        <w:t>Compte tenu du domicile du requérant et de la mineure dont l'adoption est requise à Genève, la Cour de justice est compétente pour prononcer l'adoption (art. 75 al. 1 LDIP; art. 268 al. 1 CC, art. 120 al. 1 let. c LOJ). La Convention de La Haye du 29 mai 1993 sur la protection des enfants et la coopération en matière d'adoption internationale (CLaH, RS 0.211.221.311) n'est pas applicable in casu: la mineure n'a en effet pas été déplacée du pays d'origine vers le pays d'accueil, au sens de l'art. 2 al. 1 CLaH.</w:t>
      </w:r>
    </w:p>
    <w:p>
      <w:r>
        <w:t>- 5/8 -</w:t>
      </w:r>
    </w:p>
    <w:p>
      <w:r>
        <w:t>C/18552/2012-CS</w:t>
      </w:r>
    </w:p>
    <w:p>
      <w:r>
        <w:rPr>
          <w:b/>
        </w:rPr>
        <w:t>E. 2.1</w:t>
      </w:r>
    </w:p>
    <w:p>
      <w:r>
        <w:t>Les conditions prévues par les art. 264 et ss CC sont remplies en l'espèce. Le requérant est âgé de plus de trente-cinq ans (art. 264b al. 1 CC). Il a pourvu de manière adéquate à l'éducation de l'enfant, dont il est le tuteur, pendant une durée supérieure à la période minimale d'un an exigée par l'art. 264 CC et un écart d'âge de plus de seize ans le sépare de l'enfant (art. 265 al. 1 CC). La mère biologique de l'enfant est décédée et son père biologique a déclaré consentir à l'adoption (art. 265a CC). L'enfant, capable de discernement, a déclaré souhaiter être adoptée par le requérant, qu'elle considère comme son père (art. 265 al. 2 CC). L'autorité de protection a également consenti à l'adoption, dans la mesure toutefois où le lien de filiation entre l'enfant et sa mère biologique ne serait pas rompu. Il ressort en outre du rapport de la curatrice que l'adoption servirait l'intérêt de l'enfant. Celle-ci vit en effet avec le requérant depuis le décès de sa mère survenu en 2008. Elle a noué avec ce dernier des liens très forts et est parfaitement intégrée dans le foyer qu'il a constitué avec sa compagne, leurs deux filles communes et E______, demi-sœur de B______. L'art. 264 CC prévoit également comme condition que l'adoption ne porte pas une atteinte inéquitable à la situation d'autres enfants des parents adoptifs, afin de sauvegarder l'harmonie familiale ainsi que les intérêts affectifs et pécuniaires des autres enfants de la famille adoptante (SCHOENENBERGER, Commentaire romand, Code civil I, PICHONNAZ/FOËX (éd.), ad art. 264 n. 42 ss). Dans le cas d'espèce, l'adoption de B______ par le requérant ne prétérite pas les intérêts de ses autres enfants, dans la mesure où, de fait, B______ fait partie intégrante de la famille depuis 2008; elle occupe par conséquent d'ores et déjà la place de grande sœur tant à l'égard de E______ que des deux enfants que le requérant a eues avec sa compagne actuelle. Reste dès lors à examiner la question du maintien du lien de filiation entre B______ et sa mère.</w:t>
      </w:r>
    </w:p>
    <w:p>
      <w:r>
        <w:rPr>
          <w:b/>
        </w:rPr>
        <w:t>E. 2.2</w:t>
      </w:r>
    </w:p>
    <w:p>
      <w:r>
        <w:t>Aux termes de l'art. 264a al. 3 CC, un époux peut adopter l'enfant de son conjoint s'il est marié avec ce dernier depuis cinq ans. L'art. 267 al. 2 CC prévoit que les liens de filiation antérieurs sont rompus par l'adoption, sauf à l'égard du conjoint de l'adoptant. L'adoption de l'enfant du conjoint crée ainsi un lien de filiation entre l'enfant et le beau-parent, tout en laissant subsister le lien existant entre l'enfant et son parent. Le texte de l'art. 264a al. 3 CC parle expressément d'époux et de conjoint ("Ehegatten", "Ehegatte", "coniugi" et "coniuge") et celui de l'art. 267 al. 2 CC du conjoint de l'adoptant ("der mit dem Adoptierenden verheiratet ist" et "coniuge dell'adottante"). Le texte légal de ces deux dispositions exclut ainsi l'adoption de l'enfant du concubin aux mêmes conditions que l'adoption de</w:t>
      </w:r>
    </w:p>
    <w:p>
      <w:r>
        <w:t>- 6/8 -</w:t>
      </w:r>
    </w:p>
    <w:p>
      <w:r>
        <w:t>C/18552/2012-CS l'enfant du conjoint. L'interprétation systématique, historique et téléologique de ces dispositions du Code civil confirme ce résultat (ATF 129 III 656 consid. 4, révisé par arrêt du Tribunal fédéral 5F_6/2008 paru in SJ 2009 I 53). La Cour européenne a toutefois considéré que cette conclusion consacrait une violation de l'art. 8 CEDH, disposition qui protège non seulement les relations fondées sur le mariage, mais également d'autres liens familiaux "de facto", comme les relations entre des personnes qui cohabitent en dehors de tout lien marital. Ainsi, dans des circonstances particulières, la rupture du lien de filiation entre l'enfant et sa mère naturelle, conséquence de l'adoption prévue par l'art. 267 al. 2 CC, pouvait constituer une ingérence dans l'exercice du droit au respect de leur vie familiale parce qu'elle ne répond pas à un besoin social impérieux et n'est pas nécessaire dans une société démocratique. En particulier, lorsque la personne dont l'adoption est demandée nécessitait des soins et un soutien affectif, qui étaient assumés par la personne requérant l'adoption, les garanties de l'art. 8 CEDH devaient exceptionnellement entrer en jeu. Le respect de la vie familiale exigeait en effet la prise en compte des réalités tant biologiques que sociales pour éviter une application mécanique et aveugle de la loi à ces situations très particulières, d'autant plus si l'absence de cette prise en compte heurtait les vœux des personnes concernées, sans réellement profiter à personne (ACEDH Emonet et autres c/ Suisse du 13 décembre 2007; arrêt du Tribunal fédéral 5F_6/2008 précité, consid. 4).</w:t>
      </w:r>
    </w:p>
    <w:p>
      <w:r>
        <w:rPr>
          <w:b/>
        </w:rPr>
        <w:t>E. 2.3</w:t>
      </w:r>
    </w:p>
    <w:p>
      <w:r>
        <w:t>Le cas d'espèce est certes différent de celui ayant donné lieu à l'arrêt susmentionné, dans la mesure où le requérant souhaite adopter non pas l'enfant de sa concubine, mais la fille mineure d'une ancienne concubine, aujourd'hui décédée. Certains principes, dégagés de l'arrêt rendu par la Cour européenne mentionné ci-dessus sont néanmoins applicables à la présente procédure, compte tenu des particularités qu'elle présente. Le requérant a recueilli B______, alors âgée de neuf ans, au décès de sa mère, au même titre que E______, sa fille biologique, issue de la même mère que B______. Il a poursuivi l'éducation des deux enfants sans faire de différences entre elles, ni avec les filles qu'il a eues de sa nouvelle compagne et l'on est en présence d'éléments supplémentaires de dépendance dans la mesure où B______, compte tenu du décès de sa mère et de l'absence de tout contact avec son père biologique, dépend entièrement du requérant depuis 2008. En d'autres termes, il est, pour B______, son seul point de référence et son seul soutien. Comme cela a été relevé ci-dessus, l'adoption de B______ par le requérant est conforme aux intérêts de l'enfant et se justifie pleinement. Une application stricte de l'art. 267 al. 2 CC conduirait toutefois au résultat absurde suivant, déjà relevé par la curatrice: B______ et E______ auraient le même père du fait</w:t>
      </w:r>
    </w:p>
    <w:p>
      <w:r>
        <w:t>- 7/8 -</w:t>
      </w:r>
    </w:p>
    <w:p>
      <w:r>
        <w:t>C/18552/2012-CS du prononcé de l'adoption, mais seule E______ conserverait son lien de filiation avec C_____, alors même que cette dernière est également la mère biologique de B______. Cette dernière, après avoir perdu sa mère à l'âge de neuf ans, se verrait contrainte de subir un nouveau traumatisme en raison de la suppression de son lien de filiation maternel. Cette solution, qui ne répond à aucun intérêt public ni besoin social impérieux, irait à l'encontre de la volonté clairement manifestée par tous les intervenants et empêcherait B______ et E______ de devenir sœurs à part entière, alors qu'elles vivent sous le même toit. Au vu de ce qui précède, l'adoption de B_____ par A_____ sera prononcée et il sera prescrit que le lien de filiation de l'enfant avec sa mère décédée, C_____, n'est pas rompu.</w:t>
      </w:r>
    </w:p>
    <w:p>
      <w:r>
        <w:rPr>
          <w:b/>
        </w:rPr>
        <w:t>E. 3</w:t>
      </w:r>
    </w:p>
    <w:p>
      <w:r>
        <w:t>Les frais judiciaires, arrêtés à 1'000 fr., seront mis à la charge du requérant (art. 26 RTFMC) et compensés avec l'avance de frais d'ores et déjà versée, laquelle reste acquise à l'Etat. * * * * *</w:t>
      </w:r>
    </w:p>
    <w:p>
      <w:r>
        <w:t>- 8/8 -</w:t>
      </w:r>
    </w:p>
    <w:p>
      <w:r>
        <w:t>C/18552/2012-CS PAR CES MOTIFS, La Chambre civile : Prononce l'adoption de la mineure B_____, née le ______ 1999, de nationalité camerounaise, par A_____, né le ______ 1977 à Genève, originaire de Genève et de Lenk (Berne). Prescrit que le lien de filiation de l'enfant avec feue sa mère, C_____, née le ______ 1976, de nationalité camerounaise, décédée à Genève le ______ 2008, n'est pas rompu. Arrête les frais judiciaires à 1'000 fr., les met à la charge de A_____ et les compense avec l'avance versée,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