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DAS/191/2024 vom 7. Juni 2024</w:t>
      </w:r>
    </w:p>
    <w:p>
      <w:r>
        <w:t>GE Cour de justice, 2024-06-07, FR</w:t>
      </w:r>
    </w:p>
    <w:p>
      <w:r>
        <w:rPr>
          <w:b/>
        </w:rPr>
        <w:t xml:space="preserve">Quelle: </w:t>
      </w:r>
      <w:r>
        <w:t>https://mcp.opencaselaw.ch/entscheid/ge_gerichte_DAS_191_2024</w:t>
      </w:r>
    </w:p>
    <w:p>
      <w:r>
        <w:t>FR: GE_GERICHTE DAS/191/2024 du 7 juin 2024</w:t>
      </w:r>
    </w:p>
    <w:p>
      <w:r>
        <w:t>IT: GE_GERICHTE DAS/191/2024 del 7 giugno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dans un délai de trente jours à compter de leur notification (art. 450 al. 1 et art. 450b al. 1 CC; art. 53 LaCC; art. 126 al. 1 let. b LOJ).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al. 1 CC). Elle établit les faits d'office et n'est pas liée par les conclusions des parties (art. 446 al. 1 et 3 CC).</w:t>
      </w:r>
    </w:p>
    <w:p>
      <w:r>
        <w:t>- 11/15 -</w:t>
      </w:r>
    </w:p>
    <w:p>
      <w:r>
        <w:t>C/16047/2020-CS</w:t>
      </w:r>
    </w:p>
    <w:p>
      <w:r>
        <w:rPr>
          <w:b/>
        </w:rPr>
        <w:t>E. 2</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ainsi que les nouvelles pièces produites, sont recevables.</w:t>
      </w:r>
    </w:p>
    <w:p>
      <w:r>
        <w:rPr>
          <w:b/>
        </w:rPr>
        <w:t>E. 3</w:t>
      </w:r>
    </w:p>
    <w:p>
      <w:r>
        <w:t>Préalablement, le recourant a sollicité l’interrogatoire des parties.</w:t>
      </w:r>
    </w:p>
    <w:p>
      <w:r>
        <w:rPr>
          <w:b/>
        </w:rPr>
        <w:t>E. 3.1</w:t>
      </w:r>
    </w:p>
    <w:p>
      <w:r>
        <w:t>En principe, il n’y a pas de débats devant la Chambre de surveillance de la Cour de justice, sauf en matière de placement à des fins d’assistance (art. 53 al. 5 LaCC).</w:t>
      </w:r>
    </w:p>
    <w:p>
      <w:r>
        <w:rPr>
          <w:b/>
        </w:rPr>
        <w:t>E. 3.2</w:t>
      </w:r>
    </w:p>
    <w:p>
      <w:r>
        <w:t>En l’espèce, le recourant n’expose pas sur quels points une nouvelle audition des parties, déjà entendues par le Tribunal de protection, serait susceptible d’apporter des éléments utiles et influer sur le sort du litige. Il ne se justifie par conséquent pas de déroger à la règle de l’art. 53 al. 5 LaCC.</w:t>
      </w:r>
    </w:p>
    <w:p>
      <w:r>
        <w:rPr>
          <w:b/>
        </w:rPr>
        <w:t>E. 4</w:t>
      </w:r>
    </w:p>
    <w:p>
      <w:r>
        <w:t>4.1.1 L'art. 301a CC prévoit que l'autorité parentale inclut le droit de déterminer le lieu de résidence de l'enfant (al. 1).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4.1.2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enfants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 à un développement harmonieux des points de vue affectif, psychique, moral et intellectuel (ATF 142 III 617 consid. 3.2.3-3.2.4; arrêt du Tribunal fédéral 5A_701/2021 du 24 février 2022 consid. 3.1.2).</w:t>
      </w:r>
    </w:p>
    <w:p>
      <w:r>
        <w:t>- 12/15 -</w:t>
      </w:r>
    </w:p>
    <w:p>
      <w:r>
        <w:t>C/16047/2020-CS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(Ibidem). Aucun critère n'a toutefois d'emblée une valeur prépondérante par rapport aux autres, celle-ci étant dépendante des circonstances du cas d'espèce (ATF 142 III 617 précité consid. 3.2.3; arrêt du Tribunal fédéral 5A_808/2022 du 12 juin 2023 consid. 4.1.1 et 5.2.2).</w:t>
      </w:r>
    </w:p>
    <w:p>
      <w:r>
        <w:rPr>
          <w:b/>
        </w:rPr>
        <w:t>E. 4.2</w:t>
      </w:r>
    </w:p>
    <w:p>
      <w:r>
        <w:t>En l’espèce, B______ a quitté Genève pour s’installer au Pérou avec son époux au début de l’année 2022, le mineur E______ étant pour sa part demeuré à Genève. Par ordonnance du 19 juillet 2023, qui entérinait l’accord des parties, la garde du mineur a ainsi été attribuée au père, la mère se voyant réserver un droit de visite devant s’exercer, sauf accord contraire des parents, durant toutes les vacances d’été ainsi que durant les périodes qu’elle passerait à Genève. Quand bien même B______ est fréquemment venue à Genève depuis son installation au Pérou, la prise en charge du mineur a été principalement assurée, depuis plus de deux ans, par le recourant et la grand-mère maternelle de l’enfant, laquelle représente pour celui-ci une importante figure d’attachement. Autoriser le départ du mineur pour le Pérou constituerait par conséquent pour lui un changement important, ce d’autant plus qu’il ne bénéficiera pas, dans ce pays, de l’encadrement de sa famille élargie. Il ressort certes du dossier que l’enfant a présenté des problèmes de comportement tant à l’école que durant ses activités extrascolaires, et que le SEASP a relevé des points négatifs dans sa prise en charge (multiplicité des intervenants et absence de cadre). Selon les affirmations de B______, elle aurait la possibilité, contrairement au recourant, de s’occuper personnellement de l’enfant, ce qui devrait en principe être privilégié. Force est toutefois de constater que la situation de B______ au Pérou n’est pas stable, puisqu’elle envisage de s’installer prochainement aux Etats-Unis, projet qui ressort des échanges intervenus avec le recourant, sans qu’aucune explication utile ou précision n’ait été donnée par l’intéressée concernant ce projet. Autoriser le départ du mineur E______ au Pérou l’exposerait par conséquent à devoir subir, à bref délai, un nouveau déracinement, dans un pays tiers dont il ne maîtrise pas la langue. Les messages pressants adressés par B______ au recourant afin</w:t>
      </w:r>
    </w:p>
    <w:p>
      <w:r>
        <w:t>- 13/15 -</w:t>
      </w:r>
    </w:p>
    <w:p>
      <w:r>
        <w:t>C/16047/2020-CS qu’il vienne de toute urgence chercher E______ au Pérou interpellent également sur la capacité de la mère à s’occuper de l’enfant lorsqu’elle est confrontée à des difficultés, étant rappelé une nouvelle fois qu’elle ne dispose d’aucun entourage familial au Pérou, exception faite de la famille de son époux, dont il n’est toutefois pas établi qu’elle serait disposée à prendre en charge l’enfant en cas de nécessité. Par ailleurs, le mineur, à Genève, semble être suivi par une psychothérapeute depuis le début de l’année 2024, ce qui devrait l’aider à améliorer son comportement. Le recourant avait en outre mentionné, devant le Tribunal de protection, son intention de l’inscrire dans une école située à proximité de son domicile à J______, de manière à être davantage présent dans l’éducation de son fils. Au vu de ce qui précède, il se justifie de privilégier la stabilité de l’enfant, en faisant en sorte qu’il puisse demeurer à Genève, auprès de son père, ce qui conduit à l’annulation des chiffres 1, 2, 4, 5, 6, 8 et 9 de l’ordonnance attaquée. La situation demeurant régie par l’ordonnance DTAE/5632/2023 du 19 juillet 2023 (autorité parentale conjointe, attribution de la garde au père et droit de visite en faveur de la mère), il ne se justifie pas d’entrer en matière sur les autres conclusions prises par le recourant. B______ n’ayant pas manifesté l’intention de modifier la résidence habituelle du mineur sans avoir obtenu au préalable l’autorisation du Tribunal de protection, il ne paraît pas nécessaire de lui en notifier l’interdiction, ni de limiter son droit de visite au canton de Genève. Pour le surplus, les chiffres 3 (qui ne fait que confirmer l’autorité parentale conjointe), 7, 10 et 11 du dispositif de l’ordonnance attaquée, non remis en cause, seront confirmés. Afin de s’assurer de la bonne évolution de l’enfant et de la mise en œuvre des mesures annoncées par le recourant (suivi psychothérapeutique de l’enfant et inscription de celui-ci dans une école à J______), une curatelle d’assistance éducative au sens de l’art. 308 al. 1 CC sera ordonnée. Le curateur pourra, de même, fournir aide et conseils s’agissant notamment de la gestion des écrans auxquels l’enfant a accès.</w:t>
      </w:r>
    </w:p>
    <w:p>
      <w:r>
        <w:rPr>
          <w:b/>
        </w:rPr>
        <w:t>E. 5</w:t>
      </w:r>
    </w:p>
    <w:p>
      <w:r>
        <w:t>Les frais judiciaires de la procédure de recours, arrêtés à 400 fr., seront mis à la charge de B______, qui succombe (art. 106 al. 1 CPC) et qui sera condamnée à les verser à l’Etat de Genève, soit pour lui les Services financiers du Pouvoir judiciaire.</w:t>
      </w:r>
    </w:p>
    <w:p>
      <w:r>
        <w:t>Compte tenu de la nature familiale du litige, chaque partie supportera ses propres dépens de recours (art. 107 al. 1 let. c CPC). * * * * *</w:t>
      </w:r>
    </w:p>
    <w:p>
      <w:r>
        <w:t>- 14/15 -</w:t>
      </w:r>
    </w:p>
    <w:p>
      <w:r>
        <w:t>C/16047/2020-CS PAR CES MOTIFS, La Chambre de surveillance :</w:t>
      </w:r>
    </w:p>
    <w:p>
      <w:r>
        <w:t>A la forme : Déclare recevable le recours formé par A______ contre l’ordonnance DTAE/3021/2024 rendue le 30 janvier 2024 par le Tribunal de protection de l’adulte et de l’enfant dans la cause C/16047/2020. Au fond : Annule les chiffres 1, 2, 4, 5, 6, 8 et 9 du dispositif de l’ordonnance attaquée et statuant à nouveau sur ces points : Déboute B______ des fins de sa requête du 26 octobre 2023 tendant à la modification de l’ordonnance DTAE/5632/2023 du 19 juillet 2023. Ordonne la mise en œuvre d’une curatelle d’assistance éducative en faveur du mineur E______, né le ______ 2019. Confirme pour le surplus l’ordonnance attaquée. Déboute les parties de toutes autres conclusions. Sur les frais : Arrête les frais judiciaires de recours à 400 fr. et les met à la charge de B______. Condamne en conséquence B______ à verser la somme de 400 fr. à l’Etat de Genève, soit pour lui les Services financiers du Pouvoir judiciaire. Dit qu’il n’est pas alloué de dépens de recours. Siégeant : Madame Paola CAMPOMAGNANI, présidente; Madame Fabienne GEISINGER- MARIETHOZ et Monsieur Ivo BUETTI, juges; Madame Carmen FRAGA, greffière.</w:t>
      </w:r>
    </w:p>
    <w:p>
      <w:r>
        <w:t>- 15/15 -</w:t>
      </w:r>
    </w:p>
    <w:p>
      <w:r>
        <w:t>C/16047/2020-CS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