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DAS/191/2022 vom 29. August 2022</w:t>
      </w:r>
    </w:p>
    <w:p>
      <w:r>
        <w:t>GE Cour de justice, 2022-08-29, FR</w:t>
      </w:r>
    </w:p>
    <w:p>
      <w:r>
        <w:rPr>
          <w:b/>
        </w:rPr>
        <w:t xml:space="preserve">Quelle: </w:t>
      </w:r>
      <w:r>
        <w:t>https://mcp.opencaselaw.ch/entscheid/ge_gerichte_DAS_191_2022</w:t>
      </w:r>
    </w:p>
    <w:p>
      <w:r>
        <w:t>FR: GE_GERICHTE DAS/191/2022 du 29 août 2022</w:t>
      </w:r>
    </w:p>
    <w:p>
      <w:r>
        <w:t>IT: GE_GERICHTE DAS/191/2022 del 29 agosto 2022</w:t>
      </w:r>
    </w:p>
    <w:p>
      <w:pPr>
        <w:pStyle w:val="Heading2"/>
      </w:pPr>
      <w:r>
        <w:t>Erwägungen</w:t>
      </w:r>
    </w:p>
    <w:p>
      <w:r>
        <w:rPr>
          <w:b/>
        </w:rPr>
        <w:t>E. 1.1</w:t>
      </w:r>
    </w:p>
    <w:p>
      <w:r>
        <w:t>Les décisions du juge de paix en matière successorale relèvent de la juridiction gracieuse et sont soumises à la procédure sommaire (art. 248 let. e CPC). Le juge de paix établit les faits d'office (art. 255 let. b CPC). Ces décisions sont susceptibles d'un appel dans les dix jours (art. 314 al.1 CPC). L'appel, écrit et motivé, peut être formé pour violation du droit ou/et constatation inexacte des faits pertinents (art. 310 CPC). Selon l'art. 311 al. 1 CPC, il incombe à l'appelant de motiver son appel, c'est-à- dire de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(ATF 138 III 374, 375); la motivation de l'appel constitue une condition de recevabilité, qui doit être examinée d'office; lorsque l'appel est insuffisamment motivé, l'autorité n'entre pas en matière (arrêts du Tribunal fédéral 5A_247/2013 c.3.1; 4A_651/2012 c. 4.2);</w:t>
      </w:r>
    </w:p>
    <w:p>
      <w:r>
        <w:rPr>
          <w:b/>
        </w:rPr>
        <w:t>E. 1.2</w:t>
      </w:r>
    </w:p>
    <w:p>
      <w:r>
        <w:t>En l'espèce, déposé dans le délai légal, l'appel est recevable de ce point de vue.</w:t>
      </w:r>
    </w:p>
    <w:p>
      <w:r>
        <w:rPr>
          <w:b/>
        </w:rPr>
        <w:t>E. 1.3</w:t>
      </w:r>
    </w:p>
    <w:p>
      <w:r>
        <w:t>Savoir s'il est motivé à satisfaction peut rester sans réponse au vu de ce qui suit. L'appel doit en effet être déclaré irrecevable pour un autre motif.</w:t>
      </w:r>
    </w:p>
    <w:p>
      <w:r>
        <w:rPr>
          <w:b/>
        </w:rPr>
        <w:t>E. 1.3.1</w:t>
      </w:r>
    </w:p>
    <w:p>
      <w:r>
        <w:t>Même si l’art. 311 CPC ne le mentionne pas, le mémoire d’appel doit contenir des conclusions. Elles doivent être formulées de telle sorte qu’en cas d’admission de la demande, elles puissent être reprises dans le jugement sans modification ; si elles tendent au versement d’une somme d’argent, elles doivent être chiffrées (ATF 137 III 617 c. 4).</w:t>
      </w:r>
    </w:p>
    <w:p>
      <w:r>
        <w:rPr>
          <w:b/>
        </w:rPr>
        <w:t>E. 1.3.2</w:t>
      </w:r>
    </w:p>
    <w:p>
      <w:r>
        <w:t>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w:t>
      </w:r>
    </w:p>
    <w:p>
      <w:r>
        <w:t>- 4/6 -</w:t>
      </w:r>
    </w:p>
    <w:p>
      <w:r>
        <w:t>Error! Reference source not found. 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(arrêt du TF 5A_414/2012 c.4.1). L'autorité de surveillance vérifie les mesures prises ou projetées par l'exécuteur testamentaire; cependant les questions de droit matériel demeurent du ressort des tribunaux ordinaires (ATF 90 II 376 c.3),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c.3; arrêt du TF 5A_ 414/2012 cité). Si l'existence d'un conflit d'intérêts créé ou connu du testateur (p. ex.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TF 5A_414/2012 cité). La révocation de l'exécuteur testamentaire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TF 5A_713/2011 c.3; arrêt du TF 5A_414/2012 cité). L'exécuteur testamentaire peut être révoqué en particulier s'il viole gravement les devoirs de sa charge, soit s'il commet une faute engendrant des risques graves pour les droits des héritiers ou pour leur réalisation matérielle, par une mauvaise administration, des malversations ou des lenteurs injustifiées (DAS 50/2014 c.2.1; DAS 159/207 c.4.5). Ces divers exemples supposent une faute ou une négligence grave de la part de l'exécuteur testamentaire. En revanche, une mésentente entre l'exécuteur et les héritiers ne constituera pas un motif de destitution puisque l'exécuteur a, tout comme l'administrateur, une position indépendante à leur égard. Dans la pratique, le Tribunal fédéral exige une faute particulièrement importante pour qu'un manquement grave aux obligations de l'exécuteur testamentaire soit admis (DAS/50/2014 citée).</w:t>
      </w:r>
    </w:p>
    <w:p>
      <w:r>
        <w:rPr>
          <w:b/>
        </w:rPr>
        <w:t>E. 1.3.3</w:t>
      </w:r>
    </w:p>
    <w:p>
      <w:r>
        <w:t>L'exécuteur testamentaire est responsable de la bonne et fidèle exécution des tâches qui lui sont confiées; cette responsabilité s'apprécie comme celle d'un</w:t>
      </w:r>
    </w:p>
    <w:p>
      <w:r>
        <w:t>- 5/6 -</w:t>
      </w:r>
    </w:p>
    <w:p>
      <w:r>
        <w:t>Error! Reference source not found. mandataire auquel on l'assimile; il appartient aux héritiers qui s'estiment lésés de prouver la violation de ses devoirs par l'exécuteur testamentaire, le dommage et la relation de causalité entre ces deux faits; la faute de l'exécuteur testamentaire est alors présumée et il lui appartient d'établir qu'il n'a commis aucune faute pour échapper à sa responsabilité (ATF 101 II 47; arrêt du TF 5C.311/2001 c.2b).</w:t>
      </w:r>
    </w:p>
    <w:p>
      <w:r>
        <w:rPr>
          <w:b/>
        </w:rPr>
        <w:t>E. 1.3.4</w:t>
      </w:r>
    </w:p>
    <w:p>
      <w:r>
        <w:t>La Cour a admis de longue date que l'art. 1 aLaCC conférait également au juge de paix, autorité de nomination tant de l'administrateur d'office que du liquidateur officiel, la compétence d'exercer la surveillance à laquelle l'exécuteur testamentaire est soumis. Il ne peut toutefois statuer sur des questions de droit matériel, qui relèvent du juge ordinaire (SJ 2001 I 519; DAS/181/2013). Cette jurisprudence demeure d'actualité, la teneur de l'art. 3 LaCC qui a remplacé l'art. 1 aLaCC au 1er janvier 2011, étant sur ce point identique.</w:t>
      </w:r>
    </w:p>
    <w:p>
      <w:r>
        <w:rPr>
          <w:b/>
        </w:rPr>
        <w:t>E. 1.4</w:t>
      </w:r>
    </w:p>
    <w:p>
      <w:r>
        <w:t>En l'espèce, la seule conclusion prise par l'appelant vise à ce que soit "constatée la qualité d'héritier de A______". Cette conclusion excède l'objet du litige de la compétence du juge de paix, savoir la surveillance d'un exécuteur testamentaire, telle que rappelée dans les principes évoqués ci-dessus. Elle relève du droit matériel et par conséquent du juge civil. Dans la mesure où la seule conclusion prise excède la compétence du juge de paix, elle excède également celle de la Chambre de céans en sa qualité d'autorité de recours des décisions du juge de paix. Par conséquent, dans la mesure où l'appelant ne prend aucune conclusion conforme à la procédure entamée pouvant être reprise dans le dispositif de la décision à rendre par l'autorité de recours le cas échéant, son appel est irrecevable.</w:t>
      </w:r>
    </w:p>
    <w:p>
      <w:r>
        <w:rPr>
          <w:b/>
        </w:rPr>
        <w:t>E. 2</w:t>
      </w:r>
    </w:p>
    <w:p>
      <w:r>
        <w:t>mai 2022 par A______ contre l'ordonnance DJP/184/2022 rendue par le juge de paix le 19 avril 2022 dans la cause C/20510/2021. Met à la charge de A______ un émolument de décision de 1’000 fr. Dit que celui-ci est partiellement compensé par l'avance de frais effectuée par A______ à hauteur de 500 fr., qui reste acquise à l'Etat de Genève. Condamne A______ à verser le solde de 500 fr. à l’Etat de Genève, soit pour lui les Services financiers du pouvoir judiciaire. Condamne A______ à des dépens en faveur de C______, D______ et E______, pris conjointement et solidairement, à hauteur de 1’500 fr. Siégeant : Monsieur Cédric-Laurent MICHEL, président; Mesdames Paola CAMPOMAGNANI et Jocelyne DEVILLE-CHAVANNE, juges; Madame Jessica QUINODOZ, greffière.</w:t>
      </w:r>
    </w:p>
    <w:p>
      <w:r>
        <w:t>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