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DAS/18/2015 vom 5. Dezember 2014</w:t>
      </w:r>
    </w:p>
    <w:p>
      <w:r>
        <w:t>GE Cour de justice, 2014-12-05, FR</w:t>
      </w:r>
    </w:p>
    <w:p>
      <w:r>
        <w:rPr>
          <w:b/>
        </w:rPr>
        <w:t xml:space="preserve">Quelle: </w:t>
      </w:r>
      <w:r>
        <w:t>https://mcp.opencaselaw.ch/entscheid/ge_gerichte_DAS_18_2015</w:t>
      </w:r>
    </w:p>
    <w:p>
      <w:r>
        <w:t>FR: GE_GERICHTE DAS/18/2015 du 5 décembre 2014</w:t>
      </w:r>
    </w:p>
    <w:p>
      <w:r>
        <w:t>IT: GE_GERICHTE DAS/18/2015 del 5 dicembre 2014</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devant la Chambre de surveillance de la Cour de justice (art. 450 al. 1 CC; art. 53 al. 1 LaCC). Ont qualité pour recourir les personnes parties à la procédure, les proches de la personne concernée, ainsi que les personnes ayant un intérêt juridique à l'annulation ou à la modification de la décision attaquée (art. 450 al. 2 ch. 1 à 3 CC). Le recours, interjeté par écrit, doit être dûment motivé (art. 450 al. 3 CC). Le délai de recours est de trente jours à compter de la notification de la décision (art. 450b al. 1 CC).</w:t>
      </w:r>
    </w:p>
    <w:p>
      <w:r>
        <w:rPr>
          <w:b/>
        </w:rPr>
        <w:t>E. 1.2</w:t>
      </w:r>
    </w:p>
    <w:p>
      <w:r>
        <w:t>En l'espèce, le recours a été formé par la mère de la mineure concernée, soit par une personne ayant qualité pour le faire. La recourante a par ailleurs respecté le délai prévu par l'art. 450b al. 1 CC. Enfin, bien que la motivation du recours soit succincte, elle est néanmoins claire et suffisante au regard de l'art. 450 al. 3 CC. Il découle de ce qui précède que le recours est recevable.</w:t>
      </w:r>
    </w:p>
    <w:p>
      <w:r>
        <w:rPr>
          <w:b/>
        </w:rPr>
        <w:t>E. 2</w:t>
      </w:r>
    </w:p>
    <w:p>
      <w:r>
        <w:t>La recourante s'oppose à la désignation d'une curatrice pour représenter sa fille, alléguant avoir pris un arrangement avec le père au sujet de l'entretien de l'enfant.</w:t>
      </w:r>
    </w:p>
    <w:p>
      <w:r>
        <w:rPr>
          <w:b/>
        </w:rPr>
        <w:t>E. 2.1</w:t>
      </w:r>
    </w:p>
    <w:p>
      <w:r>
        <w:t>L'instauration d'une mesure fondée sur l'art. 308 CC constitue une mesure de protection de l'enfant au sens de l'art. 1 de la Convention de la Haye concernant la compétence des autorités et la loi applicable en matière de protection des mineurs. L'autorité peut conférer au curateur le pouvoir de représenter l'enfant pour faire valoir sa créance alimentaire, à savoir faire établir le principe et la quotité de l'obligation d'entretien. Une telle mesure peut être demandée par le détenteur de l'autorité parentale, mais elle peut évidemment être instituée de la propre initiative</w:t>
      </w:r>
    </w:p>
    <w:p>
      <w:r>
        <w:t>- 4/6 -</w:t>
      </w:r>
    </w:p>
    <w:p>
      <w:r>
        <w:t>C/21310/2014-CS de l'autorité lorsque les intérêts de l'enfant paraissent compromis (MEIER, Commentaire romand CC, n. 16 ad art. 308 CC). La loi vise notamment la situation de l'enfant dont le représentant légal ne peut ou ne veut pas (notamment par loyauté envers le débiteur d'entretien) agir pour faire valoir son droit à l'entretien. Il y a alors conflit d'intérêts ou empêchement, justifiant l'intervention d'un tiers. L'enfant de concubins devrait ainsi se voir désigner un curateur alimentaire. A l'instar de la curatelle de paternité, et dans le respect de l'autonomie individuelle et de la sphère familiale, l'autorité tutélaire ne se "précipitera" pas pour mettre en place une telle curatelle dans les jours qui suivent la naissance. Quand bien même cette forme de communauté ne fonde pas d'obligation alimentaire générale à l'égard de la famille et n'offre pas de protection institutionnalisée en cas de dissolution, l'existence d'un concubinage stable, avec notamment la volonté manifestée de requérir une autorité parentale conjointe, laisseront en effet présager de la conclusion rapide, ou en tout cas possible en tout temps, d'une convention d'entretien. La désignation d'un curateur devrait donc constituer l'exception dans de tels cas. En revanche, lorsque les démarches entreprises n'aboutissent pas ou que le concubinage prend fin peu après la naissance de l'enfant, la désignation d'un curateur est nécessaire dans l'intérêt de celui-ci (MEIER, op. cit., n. 18 ad art. 308 CC).</w:t>
      </w:r>
    </w:p>
    <w:p>
      <w:r>
        <w:rPr>
          <w:b/>
        </w:rPr>
        <w:t>E. 2.2</w:t>
      </w:r>
    </w:p>
    <w:p>
      <w:r>
        <w:t>En l'espèce, il ne résulte pas de la procédure que A______ forme un concubinage stable avec le père de l'enfant. En effet, il ressort du recours que les parents de l'enfant n'habitaient pas sous le même toit lorsque la décision du Tribunal de protection a été prise. Certes, la recourante a allégué qu'elle-même et le père de l'enfant avaient décidé de vivre à nouveau ensemble. Il n'est toutefois pas établi que cette décision ait été suivie d'effets. Début janvier 2015, la recourante et le père de l'enfant n'étaient pas domiciliés à la même adresse. D'autre part, si la recourante a allégué que le père s'occuperait des fournitures et autres besoins de l'enfant, ce dernier n'a pas confirmé cette prise en charge, laquelle n'est au demeurant pas fixée de façon claire et précise. Dans ces conditions, on ne saurait reprocher au Tribunal de protection d'avoir considéré que la prise en charge stable et fiable ainsi que la sécurité financière de l'enfant n'étaient pas garanties par l'accord informel des parents, dont il n'existe aucune trace écrite. Le dossier ne permet enfin pas de retenir que la situation financière de la recourante lui permet de se passer de toute aide financière du père de son enfant pour l'entretien de ce dernier. La décision de désigner un curateur à l'enfant afin que ce dernier puisse faire valoir sa créance alimentaire à l'égard de son père n'apparaît donc pas critiquable. L'ordonnance querellée prévoit également que la curatrice devra conseiller et assister la mère de façon appropriée. La recourante n'a pas critiqué spécifiquement</w:t>
      </w:r>
    </w:p>
    <w:p>
      <w:r>
        <w:t>- 5/6 -</w:t>
      </w:r>
    </w:p>
    <w:p>
      <w:r>
        <w:t>C/21310/2014-CS cet aspect de la curatelle de sorte que la décision peut également être confirmée sur ce point.</w:t>
      </w:r>
    </w:p>
    <w:p>
      <w:r>
        <w:rPr>
          <w:b/>
        </w:rPr>
        <w:t>E. 2.3</w:t>
      </w:r>
    </w:p>
    <w:p>
      <w:r>
        <w:t>Par conséquent, le recours est infondé. La décision querellée sera donc confirmée.</w:t>
      </w:r>
    </w:p>
    <w:p>
      <w:r>
        <w:rPr>
          <w:b/>
        </w:rPr>
        <w:t>E. 3</w:t>
      </w:r>
    </w:p>
    <w:p>
      <w:r>
        <w:t>La procédure étant gratuite (art. 81 al. 1 LaCC), l'avance de 300 fr. versée par la recourante lui sera restituée. * * * * *</w:t>
      </w:r>
    </w:p>
    <w:p>
      <w:r>
        <w:t>- 6/6 -</w:t>
      </w:r>
    </w:p>
    <w:p>
      <w:r>
        <w:t>C/21310/2014-CS PAR CES MOTIFS, La Chambre de surveillance : A la forme : Déclare recevable le recours interjeté par A______ contre l'ordonnance DTAE/5450/2014 rendue le 26 novembre 2014 par le Tribunal de protection de l'adulte et de l'enfant dans la cause C/21310/2014-8. Au fond : Rejette le recours et confirme l'ordonnance querellée. Sur les frais : Dit que la procédure est gratuite. Ordonne aux Services financiers du Pouvoir judiciaire de rembourser à A______ la somme de 300 fr. versée à titre d'avance.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