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DAS/185/2022 vom 24. August 2022</w:t>
      </w:r>
    </w:p>
    <w:p>
      <w:r>
        <w:t>GE Cour de justice, 2022-08-24, FR</w:t>
      </w:r>
    </w:p>
    <w:p>
      <w:r>
        <w:rPr>
          <w:b/>
        </w:rPr>
        <w:t xml:space="preserve">Quelle: </w:t>
      </w:r>
      <w:r>
        <w:t>https://mcp.opencaselaw.ch/entscheid/ge_gerichte_DAS_185_2022</w:t>
      </w:r>
    </w:p>
    <w:p>
      <w:r>
        <w:t>FR: GE_GERICHTE DAS/185/2022 du 24 août 2022</w:t>
      </w:r>
    </w:p>
    <w:p>
      <w:r>
        <w:t>IT: GE_GERICHTE DAS/185/2022 del 24 agosto 2022</w:t>
      </w:r>
    </w:p>
    <w:p>
      <w:pPr>
        <w:pStyle w:val="Heading2"/>
      </w:pPr>
      <w:r>
        <w:t>Erwägungen</w:t>
      </w:r>
    </w:p>
    <w:p>
      <w:r>
        <w:rPr>
          <w:b/>
        </w:rPr>
        <w:t>E. 1</w:t>
      </w:r>
    </w:p>
    <w:p>
      <w:r>
        <w:t>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Le recours doit être dûment motivé et interjeté par écrit auprès du juge (art. 450 al. 3 CC).</w:t>
      </w:r>
    </w:p>
    <w:p>
      <w:r>
        <w:rPr>
          <w:b/>
        </w:rPr>
        <w:t>E. 1.2</w:t>
      </w:r>
    </w:p>
    <w:p>
      <w:r>
        <w:t>Dans le cas d'espèce, la première tentative de notification de l'ordonnance querellée a eu lieu à l'égard du recourant le 10 février 2022, de sorte que le recours interjeté le 8 mars 2022 a été formé, quoiqu'il en soit de la notification effective postérieure, dans le délai prescrit par la loi. Déposé par une personne habilitée à le faire et dans le délai prévu par la loi, il est recevable.</w:t>
      </w:r>
    </w:p>
    <w:p>
      <w:r>
        <w:rPr>
          <w:b/>
        </w:rPr>
        <w:t>E. 1.3</w:t>
      </w:r>
    </w:p>
    <w:p>
      <w:r>
        <w:t>La Chambre de surveillance revoit la cause dans la limite des griefs invoqués avec un plein pouvoir d'examen (art. 450a al. 1 CC).</w:t>
      </w:r>
    </w:p>
    <w:p>
      <w:r>
        <w:rPr>
          <w:b/>
        </w:rPr>
        <w:t>E. 2</w:t>
      </w:r>
    </w:p>
    <w:p>
      <w:r>
        <w:t>Le recourant fait succinctement grief au Tribunal de protection de ne pas avoir fixé, dans le cadre de la garde alternée décidée, les modalités de relations téléphoniques avec l'autre parent lorsque l'enfant réside chez l'un. 2.1.1 Le père ou la mère qui ne détient pas l'autorité parentale ou la garde ainsi que l'enfant mineur ont réciproquement le droit d'entretenir les relations personnelles indiquées par les circonstances (art. 273 al. 1 CC).</w:t>
      </w:r>
    </w:p>
    <w:p>
      <w:r>
        <w:t>- 5/6 -</w:t>
      </w:r>
    </w:p>
    <w:p>
      <w:r>
        <w:t>C/10980/2017-CS Lesdites relations personnelles sont conçues à la fois comme un droit et un devoir des parents, mais aussi comme un droit de la personnalité de l'enfant; elles doivent servir en premier lieu l'intérêt de celui-ci (ATF 127 III 295 c. 4a). Le critère déterminant pour la fixation des modalités du droit de visite est le bien de l'enfant (VEZ, Le droit de visite – Problèmes récurrents, in Enfant et divorce, 2006, p. 101 ss, 105). 2.2.2 Dans le cadre du vaste pouvoir d'appréciation qui est le sien en matière de détermination de l'intérêt de l'enfant, le Tribunal de protection a estimé qu'au vu notamment de l'âge de l'enfant (six ans) et de ses besoins, il n'était pas opportun de fixer des modalités d'appels téléphoniques à jour fixe, l'enfant pouvant librement prendre contact avec l'un ou l'autre des parents si elle en éprouvait le besoin, aucun d'eux ne s'y opposant. Ce faisant, il a adopté la position également défendue par le SPMi. La Cour partage cette analyse. Elle ne saurait imposer à l'enfant, âgée de six ans, des contacts téléphoniques à une heure fixe avec le parent chez qui elle ne réside pas, lorsqu'elle réside chez l'autre. En effet, hormis le caractère mécanique et potentiellement déstabilisant d'une telle réglementation, celle-ci ne correspond pas à l'intérêt de l'enfant qui doit pouvoir s'investir sans entrave dans la relation avec son parent gardien durant les semaines qu'elle passe avec lui. Par ailleurs, la Cour relève, avec le Tribunal de protection, que la mise en œuvre de la garde alternée est encadrée par un curateur qui, le cas échéant, pourra, dans le futur et si nécessaire au cas où les parents ne devaient pas s'entendre sur la question et l'enfant en éprouver le besoin, requérir du Tribunal de protection la fixation d'un cadre. Prématurée, cette requête devait en l'état être rejetée. De même, le sera le recours sur ce point. 2.2.3 En tant en outre qu'il fait grief au Tribunal de protection de ne pas avoir statué sur les aspects financiers de la prise en charge de l'enfant et notamment le paiement, respectivement le partage, des allocations familiales en sa faveur, le recours ne peut être que rejeté d'entrée de cause, dans la mesure où, comme l'a relevé le Tribunal de protection, celui-ci ne peut statuer sur ces questions qu'en cas d'accord entre les parents par le biais d'une approbation de convention passée entre eux sur ces aspects (art. 287 al. 1 CC). Les Tribunaux ordinaires sont, pour le surplus, compétents pour statuer quant au principe desdites contributions et à leurs montants (art. 279 et ss CC; art. 86 al. 1 LOJ).</w:t>
      </w:r>
    </w:p>
    <w:p>
      <w:r>
        <w:rPr>
          <w:b/>
        </w:rPr>
        <w:t>E. 3</w:t>
      </w:r>
    </w:p>
    <w:p>
      <w:r>
        <w:t>Dans la mesure où il succombe entièrement, le recourant supportera les frais de la procédure de recours, fixés à 600 fr., sous déduction de l'avance de frais de 400 fr. versée, qui reste acquise à l'Etat. Vu la nature familiale de la cause, il sera renoncé à fixer des dépens (art. 107 al. 1 let. c CPC).</w:t>
      </w:r>
    </w:p>
    <w:p>
      <w:r>
        <w:t>- 6/6 -</w:t>
      </w:r>
    </w:p>
    <w:p>
      <w:r>
        <w:t>C/10980/2017-CS * * * * * PAR CES MOTIFS, La Chambre de surveillance : A la forme : Déclare recevable le recours formé le 8 mars 2022 par A______ contre l'ordonnance DTAE/7836/2021 rendue le 7 décembre 2021 par le Tribunal de protection de l'adulte et de l'enfant dans la cause C/10980/2017. Au fond : Le rejette. Sur les frais : Arrête les frais judiciaires du recours à 600 fr., les met à la charge d'A______, et les compense partiellement avec l'avance de frais versée en 400 fr., qui reste acquise à l'Etat de Genève. Condamne A______ à payer à l'Etat de Genève, soit pour lui les Services financiers du Pouvoir judiciaire, une somme de 200 fr. à titre de solde des frais judiciaires de recours.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