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DAS/184/2020 vom 7. August 2020</w:t>
      </w:r>
    </w:p>
    <w:p>
      <w:r>
        <w:t>GE Cour de justice, 2020-08-07, FR</w:t>
      </w:r>
    </w:p>
    <w:p>
      <w:r>
        <w:rPr>
          <w:b/>
        </w:rPr>
        <w:t xml:space="preserve">Quelle: </w:t>
      </w:r>
      <w:r>
        <w:t>https://mcp.opencaselaw.ch/entscheid/ge_gerichte_DAS_184_2020</w:t>
      </w:r>
    </w:p>
    <w:p>
      <w:r>
        <w:t>FR: GE_GERICHTE DAS/184/2020 du 7 août 2020</w:t>
      </w:r>
    </w:p>
    <w:p>
      <w:r>
        <w:t>IT: GE_GERICHTE DAS/184/2020 del 7 agosto 2020</w:t>
      </w:r>
    </w:p>
    <w:p>
      <w:pPr>
        <w:pStyle w:val="Heading2"/>
      </w:pPr>
      <w:r>
        <w:t>Erwägungen</w:t>
      </w:r>
    </w:p>
    <w:p>
      <w:r>
        <w:rPr>
          <w:b/>
        </w:rPr>
        <w:t>E. 1.1</w:t>
      </w:r>
    </w:p>
    <w:p>
      <w:r>
        <w:t>Les décisions de l'autorité de protection de l'adulte et de l'enfant peuvent faire l'objet d'un recours devant le juge compétent, qui, dans le canton de Genève, est la Chambre de surveillance de la Cour de justice (art. 450 al. 1 CC; art. 53 al. 1 LaCC; art. 126 al. 1 let. b LOJ). Ont qualité pour recourir les personnes parties à la procédure (art. 450 al. 2 ch. 1 CC). Le délai de recours est de trente jours à partir de la notification de la décision (art. 450b al. 1 CC; 53 al. 2 LaCC applicable par renvoi de l'art. 314 al. 1 CC). Le délai est de dix jours s'il s'agit de décisions provisionnelles (art. 445 al.3 CC).</w:t>
      </w:r>
    </w:p>
    <w:p>
      <w:r>
        <w:rPr>
          <w:b/>
        </w:rPr>
        <w:t>E. 1.2</w:t>
      </w:r>
    </w:p>
    <w:p>
      <w:r>
        <w:t>En l'espèce, l'ordonnance attaquée, qui n'indique pas qu'elle serait une décision provisionnelle, apparaît être une décision prise au fond. Elle indique pour le surplus qu'elle peut faire l'objet d'un recours dans les trente jours dès sa notification. Le recours a été formé par une partie à la procédure dans le délai utile de trente jours et devant l'autorité compétente. Il est donc recevable à la forme.</w:t>
      </w:r>
    </w:p>
    <w:p>
      <w:r>
        <w:rPr>
          <w:b/>
        </w:rPr>
        <w:t>E. 1.3</w:t>
      </w:r>
    </w:p>
    <w:p>
      <w:r>
        <w:t>Compte tenu de la matière, soumise aux maximes inquisitoire et d'office illimitée, la cognition de la Chambre de surveillance est complète. Elle n'est pas liée par les conclusions des parties (art. 446 CC).</w:t>
      </w:r>
    </w:p>
    <w:p>
      <w:r>
        <w:rPr>
          <w:b/>
        </w:rPr>
        <w:t>E. 2.1</w:t>
      </w:r>
    </w:p>
    <w:p>
      <w:r>
        <w:t>La Chambre de surveillance statue en principe sans débats (art. 53 al. 5 LaCC).</w:t>
      </w:r>
    </w:p>
    <w:p>
      <w:r>
        <w:rPr>
          <w:b/>
        </w:rPr>
        <w:t>E. 2.2</w:t>
      </w:r>
    </w:p>
    <w:p>
      <w:r>
        <w:t>En l'espèce, il ne sera pas donné suite à la requête de la recourante tendant à son audition dans la mesure où elle s'est exprimée dans le cadre de son recours. Pour le surplus, les éléments nécessaires à ce que la cause puisse être tranchée sont contenus dans le dossier, de sorte qu'il n'y a pas lieu de faire une exception au principe rappelé ci-dessus.</w:t>
      </w:r>
    </w:p>
    <w:p>
      <w:r>
        <w:rPr>
          <w:b/>
        </w:rPr>
        <w:t>E. 3.1</w:t>
      </w:r>
    </w:p>
    <w:p>
      <w:r>
        <w:t>Selon l'art. 307 al. 1 CC, l'autorité de protection de l'enfant prend les mesures nécessaires pour protéger l'enfant si son développement est menacé et que les père et mère n'y remédient pas d'eux-mêmes ou soient hors d'état de le faire.</w:t>
      </w:r>
    </w:p>
    <w:p>
      <w:r>
        <w:t>- 6/11 -</w:t>
      </w:r>
    </w:p>
    <w:p>
      <w:r>
        <w:t>C/3266/2020-CS A teneur de l'art. 27 de la Loi sur l'enfance et la jeunesse (LEJ), le département, soit pour lui la direction du service chargé de la protection des mineurs, ordonne en cas de péril le déplacement immédiat de l'enfant (al. 1). Il peut ordonner le retrait du droit de déterminer le lieu de résidence de l'enfant, le retrait de sa garde de fait ou la suspension d'un droit à des relations personnelles. Il demande alors dans les meilleurs délais au Tribunal de protection de l'adulte et de l'enfant la ratification des dispositions prises (al. 2). Aux termes de l'art. 28 LEJ, le placement doit être décidé en dernier ressort, soit lorsqu'aucune mesure moins incisive n'est envisageable (al. 2). Le placement est exécuté dans l'un des cas suivants : a) en accord avec les parents b) sur décision de justice c) sur décision du département prise en cas de péril au sens de l'article 27 (al. 3). Le prononcé d'une clause-péril par la direction du Service de protection des mineurs présuppose l'existence d'une urgence telle qu'il faille intervenir immédiatement pour protéger les intérêts du ou des mineurs concernés. Une fois les mesures nécessaires prises, le danger perd son caractère d'immédiateté, sans toutefois que cela conduise à refuser la ratification de celle-ci par le Tribunal de protection. Ainsi, le pouvoir d'examen du Tribunal de protection se limite à examiner si, au moment où la "clause-péril" a été prise, les mesures ordonnées étaient justifiées au vu des circonstances et des informations en possession du Service de protection des mineurs, d'éventuelles modifications ultérieures de la situation étant sans incidence. Ce n'est qu'après avoir le cas échéant ratifié la mesure prise au vu des seules circonstances existantes au moment de son prononcé que le Tribunal de protection doit vérifier si celle-ci est encore adéquate et proportionnée au vu des éléments résultant de l'instruction ultérieure ou de l'évolution de la situation et le cas échéant prendre lui-même les mesures provisionnelles qui s'imposent (DAS/203/2017 du 9 octobre 2017 consid. 2.1).</w:t>
      </w:r>
    </w:p>
    <w:p>
      <w:r>
        <w:rPr>
          <w:b/>
        </w:rPr>
        <w:t>E. 3.2</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soit impossible de le prévenir par des mesures moins énergiques prévues aux art. 307 et 308 CC. La cause de la mesure doit résider dans le fait que le développement corporel, intellectuel ou moral de l'enfant n'est pas assez protégé ou encouragé dans le milieu dans lequel il vit (arrêt du Tribunal fédéral 5A_729/2013 du 11 décembre 2013 consid. 4.1; 5A_835/2008 du 12 février 2009 consid. 4.1). Le retrait du droit de garde est régi par les principes de subsidiarité, de complémentarité et de proportionnalité (arrêt du Tribunal fédéral 5A_858/2008 du 15 avril 2009 consid. 4.2).</w:t>
      </w:r>
    </w:p>
    <w:p>
      <w:r>
        <w:t>- 7/11 -</w:t>
      </w:r>
    </w:p>
    <w:p>
      <w:r>
        <w:t>C/3266/2020-CS</w:t>
      </w:r>
    </w:p>
    <w:p>
      <w:r>
        <w:rPr>
          <w:b/>
        </w:rPr>
        <w:t>E. 3.3</w:t>
      </w:r>
    </w:p>
    <w:p>
      <w:r>
        <w:t>Le droit d'être entendu est une garantie de caractère formel, dont la violation entraîne en principe l'annulation de la décision attaquée, indépendamment des chances de succès du recours au fond (ATF 135 I 279 consid. 2.6.1, JdT 2010 I 255). Le droit d'être entendu ne confère pas au justiciable un droit absolu à ce que tous les actes d'instruction qu'il requiert soient effectués, dans la mesure où l'autorité peut mettre un terme à l'instruction lorsque les preuves administrées lui permettent de se forger une conviction et que, procédant d'une façon non arbitraire à une appréciation anticipée des preuves qui lui sont proposées, elle a la certitude que ces dernières ne pourraient plus l'amener à modifier son opinion (arrêts du Tribunal fédéral 5A_304/2014 du 13 octobre 2014; 4A_683/2010 du 22 novembre 2011).</w:t>
      </w:r>
    </w:p>
    <w:p>
      <w:r>
        <w:rPr>
          <w:b/>
        </w:rPr>
        <w:t>E. 3.4</w:t>
      </w:r>
    </w:p>
    <w:p>
      <w:r>
        <w:t>De même, la maxime inquisitoire n'oblige pas le juge d'effectuer toutes les mesures probatoires qui paraissent possibles. Celui-ci peut statuer dès que le dossier contient suffisamment d'éléments pour rendre une décision conforme aux faits (ATF 128 III 161 consid. 2b/aa; 125 III 401 consid. 1b; 114 Ib II 200 consid. 2b; arrêt du Tribunal fédéral 5C.171/2004 du 1er novembre 2004 consid. 5.4 in SJ 2005 p. 79).</w:t>
      </w:r>
    </w:p>
    <w:p>
      <w:r>
        <w:rPr>
          <w:b/>
        </w:rPr>
        <w:t>E. 3.5</w:t>
      </w:r>
    </w:p>
    <w:p>
      <w:r>
        <w:t>Dans le cas d'espèce, la recourante reproche au Tribunal de protection de lui avoir retiré la garde de sa fille sur la seule base du rapport du Service de protection des mineurs requérant la ratification de la "clause-péril", sans avoir procédé à la recherche d'autres éléments pertinents permettant d'asseoir la décision. En particulier, elle lui reproche d'avoir rendu sa décision sans entendre de témoins, respectivement les personnes dont les propos étaient repris dans le rapport du Service de protection des mineurs ou d'autres personnes qu'elle aurait pu proposer sans qu'il lui en soit donné la possibilité. Pour le surplus, elle reproche au Tribunal de protection d'avoir apprécié arbitrairement les rares preuves à sa disposition.</w:t>
      </w:r>
    </w:p>
    <w:p>
      <w:r>
        <w:rPr>
          <w:b/>
        </w:rPr>
        <w:t>E. 3.5.1</w:t>
      </w:r>
    </w:p>
    <w:p>
      <w:r>
        <w:t>Force est d'admettre d'emblée que l'ensemble de la procédure soumise à la Cour a été menée de manière singulière. En effet, à la demande du Service de protection des mineurs du 11 février 2020, et sur cette seule base, le Tribunal de protection a rendu le 17 février 2020 une ordonnance superprovisionnelle, par définition sans audition des parties (art. 445 al. 2 CC, 5 al. 1 lit m LaCC), ordonnant un suivi thérapeutique de la mineure et diverses curatelles. Contrairement aux réquisits légaux (art. 445 al. 2 2e phr. CC) et aux rappels au respect de la loi de la Cour à l'adresse du Tribunal de protection à ce propos (cf. notamment DAS/150/2020 {recte : art. 445 al. 2 CC, en lieu et place de</w:t>
      </w:r>
    </w:p>
    <w:p>
      <w:r>
        <w:t>- 8/11 -</w:t>
      </w:r>
    </w:p>
    <w:p>
      <w:r>
        <w:t>C/3266/2020-CS art. 265 al. 2 CPC}), cette décision n'a été suivie ni d'une convocation immédiate des parties, ni d'une décision sur mesures provisionnelles. Ensuite, suite au prononcé de la "clause-péril" du 7 mai 2020 par la direction du Service de protection des mineurs, le Tribunal de protection a convoqué une audience lors de laquelle il a entendu les parties et la répondante dudit service. Son instruction s'est limitée à cette audience. Le dossier ne contient pour le surplus, comme éléments pertinents, que le rapport du Service de protection des mineurs du 11 février 2020, antérieur à la décision sur mesures superprovisionnelles initiale, et la demande du Service de protection des mineurs du 18 mai 2020 sollicitant la ratification de la "clause-péril" prise par lui. Or, sur la base de ces seuls éléments, le Tribunal de protection n'a pas prononcé une décision provisionnelle, visant par hypothèse la ratification urgente de la "clause péril" (comme le suggère le Tribunal fédéral dans un arrêt du 20 novembre 2014, 5A_614/2014 c.2), dans le cadre de la poursuite de son instruction, mais une décision au fond.</w:t>
      </w:r>
    </w:p>
    <w:p>
      <w:r>
        <w:rPr>
          <w:b/>
        </w:rPr>
        <w:t>E. 3.5.2</w:t>
      </w:r>
    </w:p>
    <w:p>
      <w:r>
        <w:t>Comme rappelé plus haut, le pouvoir d'examen du Tribunal de protection, dans le cadre d'une ratification de "clause-péril", se limite à examiner si, au moment où la "clause-péril" a été prise, les mesures ordonnées étaient justifiées au vu des circonstances et des informations en possession du Service de protection des mineurs, d'éventuelles modifications ultérieures de la situation étant sans incidence. Ce n'est qu'après avoir le cas échéant ratifié la mesure prise au vu des seules circonstances existantes au moment de son prononcé que le Tribunal de protection doit vérifier si celle-ci est encore adéquate et proportionnée au vu des éléments résultant de l'instruction ultérieure ou de l'évolution de la situation et le cas échéant prendre lui-même les mesures provisionnelles qui s'imposent. A la lecture des éléments aux dossiers, l'on doit considérer que le prononcé de la "clause-péril" par le Service de protection des mineurs apparaissait pouvoir se justifier au vu des déclarations de l'enfant et de la logopédiste de celui-ci. De cette manière, la ratification de cette mesure apparaît justifiée et proportionnée, puisque cette mesure l'était au moment de son prononcé. Cela étant, sans prendre lui-même de mesures provisionnelles suite à cette décision, le Tribunal de protection a statué au fond en ordonnant un retrait de garde de l'enfant à sa mère sans disposer de plus d'élément qu'une audition des parents, qui n'ont fait que confirmer leurs positions antagonistes, et une requête de ratification du Service de protection des mineurs. Ce faisant, il a prononcé l'une des mesures de protection les plus incisives sur cette seule base, en violation de la maxime inquisitoire qui l'oblige à rechercher les éléments permettant de fonder sa décision et de déterminer si les principes de subsidiarité et de proportionnalité des mesures sont sauvegardés.</w:t>
      </w:r>
    </w:p>
    <w:p>
      <w:r>
        <w:t>- 9/11 -</w:t>
      </w:r>
    </w:p>
    <w:p>
      <w:r>
        <w:t>C/3266/2020-CS</w:t>
      </w:r>
    </w:p>
    <w:p>
      <w:r>
        <w:rPr>
          <w:b/>
        </w:rPr>
        <w:t>E. 3.5.3</w:t>
      </w:r>
    </w:p>
    <w:p>
      <w:r>
        <w:t>L'intérêt de l'enfant est le principe cardinal qui guide la protection des mineurs. Au vu de l'état du dossier qui lui est soumis, la Cour n'est pas en mesure de déterminer si la mesure de retrait de garde prise par le Tribunal de protection correspond audit intérêt, les personnes susceptibles de confirmer ou infirmer les allégations de maltraitance n'ayant pas été entendues. Aucun certificat médical ou rapport médical relatif à l'enfant n'est contenu dans le dossier. En tant que la mesure prise apparaît, en l'état du dossier insuffisamment instruit, possiblement disproportionnée, la décision querellée doit être annulée et la cause renvoyée au Tribunal de protection pour instruction et nouvelle décision. Il appartiendra au Tribunal de protection de déterminer d'une part, si les conditions d'un retrait de garde sont toujours remplies et d'autre part, de fixer les relations personnelles adéquates entre la recourante et sa fille.</w:t>
      </w:r>
    </w:p>
    <w:p>
      <w:r>
        <w:rPr>
          <w:b/>
        </w:rPr>
        <w:t>E. 4</w:t>
      </w:r>
    </w:p>
    <w:p>
      <w:r>
        <w:t>Afin toutefois d'éviter d'éventuels allers-retours de l'enfant entre les parents, déstabilisants pour l'enfant, et au vu du fait que sa situation semble en l'état stable, la Cour se voit contrainte à ce stade de prononcer des mesures provisionnelles permettant le maintien de la situation de faits.</w:t>
      </w:r>
    </w:p>
    <w:p>
      <w:r>
        <w:rPr>
          <w:b/>
        </w:rPr>
        <w:t>E. 5</w:t>
      </w:r>
    </w:p>
    <w:p>
      <w:r>
        <w:t>Au vu de ce qui précède, point n'est besoin de procéder à l'examen des autres griefs soulevés.</w:t>
      </w:r>
    </w:p>
    <w:p>
      <w:r>
        <w:rPr>
          <w:b/>
        </w:rPr>
        <w:t>E. 6</w:t>
      </w:r>
    </w:p>
    <w:p>
      <w:r>
        <w:t>La procédure est gratuite (art. 81 al. 1 LaCC). * * * * *</w:t>
      </w:r>
    </w:p>
    <w:p>
      <w:r>
        <w:t>- 10/11 -</w:t>
      </w:r>
    </w:p>
    <w:p>
      <w:r>
        <w:t>C/3266/2020-CS PAR CES MOTIFS, La Chambre de surveillance : A la forme : Déclare recevable le recours formé le 7 août 2020 par A______ contre l’ordonnance DTAE/3593/2020 rendue le 16 juin 2020 par le Tribunal de protection de l'adulte et de l'enfant dans la cause C/3266/2020. Au fond : Annule les ch. 2, 3, 4, 12, 13 du dispositif de l'ordonnance. Retourne le dossier au Tribunal de protection pour instruction et nouvelle décision au sens des considérants. Et statuant sur mesures provisionnelles : Ordonne le maintien jusqu'à nouvelle décision du Tribunal de protection, qui devra être rendue dans un délai raisonnable, de la garde de l'enfant F______ à B______ et en conséquence le retrait de garde à A______, ainsi que les modalités en cours relatives aux relations personnelles, sous réserve pour ces dernières d'élargissement ou restriction prononcées par le Tribunal de protection au vu de l'évolution de la situation. Ordonne le maintien de la curatelle d'organisation et de surveillance des relations personnelles. Dit que la procédure est gratuite. Siégeant : Monsieur Cédric-Laurent MICHEL, président; Mesdames Paola CAMPOMAGNANI et Jocelyne DEVILLE-CHAVANNE, juges; Madame Carmen FRAGA, greffière.</w:t>
      </w:r>
    </w:p>
    <w:p>
      <w:r>
        <w:t>- 11/11 -</w:t>
      </w:r>
    </w:p>
    <w:p>
      <w:r>
        <w:t>C/3266/2020-CS</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