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DAS/182/2023 vom 15. Mai 2023</w:t>
      </w:r>
    </w:p>
    <w:p>
      <w:r>
        <w:t>GE Cour de justice, 2023-05-15, FR</w:t>
      </w:r>
    </w:p>
    <w:p>
      <w:r>
        <w:rPr>
          <w:b/>
        </w:rPr>
        <w:t xml:space="preserve">Quelle: </w:t>
      </w:r>
      <w:r>
        <w:t>https://mcp.opencaselaw.ch/entscheid/ge_gerichte_DAS_182_2023</w:t>
      </w:r>
    </w:p>
    <w:p>
      <w:r>
        <w:t>FR: GE_GERICHTE DAS/182/2023 du 15 mai 2023</w:t>
      </w:r>
    </w:p>
    <w:p>
      <w:r>
        <w:t>IT: GE_GERICHTE DAS/182/2023 del 15 maggio 2023</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w:t>
      </w:r>
    </w:p>
    <w:p>
      <w:r>
        <w:t>- 4/5 -</w:t>
      </w:r>
    </w:p>
    <w:p>
      <w:r>
        <w:t>C/20436/2022-CS Le simple fait que la personne concernée s'oppose à la nomination d'un curateur n'est au demeurant pas suffisant pour y renoncer (LEUBA/STETTLER/ BÜCHLER/HÄFELI, op. cit., no. 15 ad art. 449a CC ; STEINAUER/FOUNTOULAKIS, op. cit., n. 1119, p. 499).</w:t>
      </w:r>
    </w:p>
    <w:p>
      <w:r>
        <w:rPr>
          <w:b/>
        </w:rPr>
        <w:t>E. 2.2</w:t>
      </w:r>
    </w:p>
    <w:p>
      <w:r>
        <w:t>En l'espèce, il ressort de l'état de fait que les conditions rappelées ci-dessus ne sont d'entrée de cause pas réalisées pour que soit prononcée une mesure de curatelle d'office pour la représentation en procédure. En effet, comme la Chambre de céans a déjà eu l'occasion de le rappeler dans la présente cause, dans la mesure où la personne concernée, dont rien en l'état ne permet de préjuger qu'elle ne serait pas capable de discernement sur la question du choix d'un mandataire, a choisi un avocat pour la représenter dans la procédure ouverte par le Tribunal de protection, il n'y a aucune nécessité de lui désigner un curateur d'office, fût-ce ledit avocat. Les conditions de l'art. 449a CC, notamment celle de la nécessité, n'étant pas réalisées, l'ordonnance entreprise ne peut qu'être annulée. Cela étant, en tant qu'il conclut à ce qu'il soit mis un terme à ce stade à la procédure de protection ouverte, le recourant se méprend. L'objet du recours contre la décision entreprise ne vise que la décision en question, soit la désignation d'un curateur d'office de représentation en procédure. Le prononcé d'une mesure de protection au fond fera précisément l'objet de la procédure ouverte dans laquelle l'avocat de choix du recourant fera valoir ses droits. Il soutiendra, dès lors, ce qui devra, selon lui, conduire au classement immédiat de la procédure de protection. Cela n'est pas l'objet du présent recours. Au vu de ce qui précède, l'ordonnance querellée sera annulée.</w:t>
      </w:r>
    </w:p>
    <w:p>
      <w:r>
        <w:rPr>
          <w:b/>
        </w:rPr>
        <w:t>E. 3</w:t>
      </w:r>
    </w:p>
    <w:p>
      <w:r>
        <w:t>La procédure n'est pas gratuite (art. 19 al. 1 LaCC). Vu l'issue de la procédure, les frais, arrêtés à 600 fr., seront laissés à la charge de l'Etat et l'avance de frais de même montant versée par le recourant lui sera restituée. * * * * *</w:t>
      </w:r>
    </w:p>
    <w:p>
      <w:r>
        <w:t>- 5/5 -</w:t>
      </w:r>
    </w:p>
    <w:p>
      <w:r>
        <w:t>C/20436/2022-CS PAR CES MOTIFS, La Chambre de surveillance :</w:t>
      </w:r>
    </w:p>
    <w:p>
      <w:r>
        <w:t>A la forme : Déclare recevable le recours formé 15 mai 2023 par A______ contre la décision DTAE/2808/2023 rendue le 12 avril 2023 par le Tribunal de protection de l’adulte et de l’enfant dans la cause C/20436/2022. Au fond : Annule la décision attaquée. Sur les frais : Arrête les frais judiciaires du recours à 600 fr. et les laisse à la charge de l'Etat de Genève. Ordonnance aux Services financiers du Pouvoir judiciaire de restituer à A______ l'avance de frais versée à hauteur de 600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