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DAS/182/2018 vom 28. Februar 2018</w:t>
      </w:r>
    </w:p>
    <w:p>
      <w:r>
        <w:t>GE Cour de justice, 2018-02-28, FR</w:t>
      </w:r>
    </w:p>
    <w:p>
      <w:r>
        <w:rPr>
          <w:b/>
        </w:rPr>
        <w:t xml:space="preserve">Quelle: </w:t>
      </w:r>
      <w:r>
        <w:t>https://mcp.opencaselaw.ch/entscheid/ge_gerichte_DAS_182_2018</w:t>
      </w:r>
    </w:p>
    <w:p>
      <w:r>
        <w:t>FR: GE_GERICHTE DAS/182/2018 du 28 février 2018</w:t>
      </w:r>
    </w:p>
    <w:p>
      <w:r>
        <w:t>IT: GE_GERICHTE DAS/182/2018 del 28 febbraio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limitée par les conclusions des parties.</w:t>
      </w:r>
    </w:p>
    <w:p>
      <w:r>
        <w:rPr>
          <w:b/>
        </w:rPr>
        <w:t>E. 2</w:t>
      </w:r>
    </w:p>
    <w:p>
      <w:r>
        <w:t>Le recourant sollicite l'instauration d'une "garde alternée" sur l'enfant.</w:t>
      </w:r>
    </w:p>
    <w:p>
      <w:r>
        <w:rPr>
          <w:b/>
        </w:rPr>
        <w:t>E. 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w:t>
      </w:r>
    </w:p>
    <w:p>
      <w:r>
        <w:rPr>
          <w:b/>
        </w:rPr>
        <w:t>E. 2.1.1</w:t>
      </w:r>
    </w:p>
    <w:p>
      <w:r>
        <w:t>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constituant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w:t>
      </w:r>
    </w:p>
    <w:p>
      <w:r>
        <w:t>- 6/10 -</w:t>
      </w:r>
    </w:p>
    <w:p>
      <w:r>
        <w:t>C/10980/2017-CS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w:t>
      </w:r>
    </w:p>
    <w:p>
      <w:r>
        <w:t>Pour apprécier ces critères, le juge dispose d'un large pouvoir d'appréciation (art. 4 CC; ATF 115 II 317; arrêt du Tribunal fédéral 5A_154/2016 du 19 mai 2016 consid. 4.1).</w:t>
      </w:r>
    </w:p>
    <w:p>
      <w:r>
        <w:t>Si le juge arrive à la conclusion qu'une garde alternée n'est pas dans l'intérêt de l'enfant, il devra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w:t>
      </w:r>
    </w:p>
    <w:p>
      <w:r>
        <w:rPr>
          <w:b/>
        </w:rPr>
        <w:t>E. 2.1.2</w:t>
      </w:r>
    </w:p>
    <w:p>
      <w:r>
        <w:t>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w:t>
      </w:r>
    </w:p>
    <w:p>
      <w:r>
        <w:t>Le juge dispose d'un large pouvoir d'appréciation dans la fixation du droit de visite (ATF 122 III 404 consid. 3c = JdT 1998 I 46).</w:t>
      </w:r>
    </w:p>
    <w:p>
      <w:r>
        <w:rPr>
          <w:b/>
        </w:rPr>
        <w:t>E. 2.2</w:t>
      </w:r>
    </w:p>
    <w:p>
      <w:r>
        <w:t>Les parents ne s'opposent plus sur le principe de l'autorité parentale conjointe qui est donc acquise. La prise en charge de l'enfant par chacun de ses parents demeure seule litigieuse. Bien que le recourant sollicite, dans son acte de recours, une "garde alternée" sur l'enfant mineure, il requiert en réalité un large droit de visite sur cette dernière puisqu'il souhaite que l'enfant soit auprès de lui du lundi 07h30 au mardi 19h30, comme c'est le cas depuis le début de l'année 2017, ainsi qu'un week-end sur deux du vendredi en fin de journée au mardi 19h30, modalités qui ne constituent pas une garde alternée selon des périodes (quasi-) équivalentes</w:t>
      </w:r>
    </w:p>
    <w:p>
      <w:r>
        <w:t>- 7/10 -</w:t>
      </w:r>
    </w:p>
    <w:p>
      <w:r>
        <w:t>C/10980/2017-CS de prise en charge de l'enfant, mais un large droit de visite sur celui-ci. A cet égard, le SEASP, dans son rapport du 16 octobre 2017, a préconisé l'attribution de la garde de l'enfant à la mère avec un large droit de visite en faveur du père du samedi 10h00 au mardi 19h30 les semaines paires et du lundi 07h30 au mardi 19h30 les semaines impaires, ainsi que durant la moitié des vacances scolaires. Le Tribunal de protection, dans l'ordonnance querellée a considéré, à juste titre, qu'une garde alternée n'était pas envisageable, avis que partage la Chambre de céans, et qui n'est pas véritablement remis en cause par le recourant malgré le vocabulaire qu'il utilise, pour solliciter un droit de visite élargi. En fixant les relations personnelles dans l'ordonnance querellée, le Tribunal de protection s'est toutefois éloigné des recommandations du SEASP en restreignant le droit de visite du père sur l'enfant pour le fixer une semaine sur deux du vendredi en fin de journée au mardi matin. Il a motivé sa décision par le fait qu'il convenait de favoriser la socialisation de la mineure en vue de son entrée en crèche, la moitié des vacances scolaires demeurant acquise. Il a considéré que la stabilité de l'enfant imposait une telle restriction. Le Tribunal de protection ne peut toutefois être suivi dans cette voie. En effet, le SEASP, dans son rapport du 16 octobre 2017, a relevé les bonnes capacités parentales du père et insisté sur la nécessité de la poursuite des liens étroits tissés entre le père et l'enfant, nécessaires à son bon développement. La Chambre de céans relève, à l'instar du SEASP, que les relations entre le père et sa fille se déroulent parfaitement bien, l'enfant vivant harmonieusement cette prise en charge et ne manifestant aucun changement de comportement lorsqu'elle rejoint sa "maman de jour", après un séjour chez son père. La mère exerce par ailleurs une activité lucrative le mardi tandis que le père est disponible pour s'occuper de sa fille tous les lundis et mardis, de sorte que cette dernière peut ainsi passer du temps avec lui. L'enfant est par ailleurs habituée à ce rythme de prise en charge et aucun élément du dossier ne permet de retenir que le droit de visite tel qu'il a été préconisé par le SEASP serait néfaste au bon développement de l'enfant. Le seul motif d'une éventuelle entrée en crèche de l'enfant ne justifie pas, à lui seul, de modifier le droit de visite du père, tel qu'il est exercé maintenant sans problème depuis plus d'une année. En effet, en premier lieu, la mère qui envisageait la possibilité d'une entrée en crèche de l'enfant lors de son audition par le Tribunal de protection ne semble pas avoir entrepris de démarches dans ce sens et ne l'évoque plus dans sa réponse au recours, de telle sorte que l'on ignore si une place est ou sera prochainement disponible pour l'enfant, qui n'a pas d'autre mode de garde les mardis que son père. En second lieu, même si l'enfant devait entrer en crèche, la fréquentation de celle-ci les jeudis et vendredis suffirait à atteindre le but de socialisation recherché par la mère. Il se justifie donc de fixer un large droit de visite en faveur du père, conforme aux recommandations du SEASP, sans nécessité de faire débuter ce droit de visite le vendredi soir, le père ayant accepté devant le Tribunal de protection un début des visites durant les week-ends le</w:t>
      </w:r>
    </w:p>
    <w:p>
      <w:r>
        <w:t>- 8/10 -</w:t>
      </w:r>
    </w:p>
    <w:p>
      <w:r>
        <w:t>C/10980/2017-CS samedi à 10h00, ce qui est plus conforme à l'intérêt de l'enfant. La Chambre de céans attire toutefois l'attention des parties sur le fait que ce droit de visite devra toutefois être utilement réexaminé lorsque l'enfant débutera sa scolarité, compte tenu de l'éloignement des domiciles parentaux.</w:t>
      </w:r>
    </w:p>
    <w:p>
      <w:r>
        <w:t>En conséquence, le chiffre 2 de l'ordonnance querellée sera confirmé et le chiffre 3 de ladite ordonnance modifié, en ce sens qu'un droit aux relations personnelles sera réservé à A______ sur l'enfant C______ qui devra être exercé, sauf accord contraire entre les parents, du samedi 10h00 au mardi 19h30 durant les semaines paires, du lundi 07h30 au mardi 19h30 durant les semaines impaires, ainsi que durant la moitié des vacances scolaires, étant précisé que jusqu'à l'âge de trois ans de C______, les vacances avec son père ne pourront excéder deux semaines consécutives et devront être suivies d'une période au moins équivalente avec sa mère.</w:t>
      </w:r>
    </w:p>
    <w:p>
      <w:r>
        <w:rPr>
          <w:b/>
        </w:rPr>
        <w:t>E. 3</w:t>
      </w:r>
    </w:p>
    <w:p>
      <w:r>
        <w:t>S'agissant d'une procédure liée à l'autorité parentale sur l'enfant, portant plus particulièrement sur la garde et le droit aux relations personnelles, le recours n'est pas gratuit (art. 77 LaCC). Compte tenu de l'issue du litige, les frais arrêtés à 400 fr., seront mis par moitié à la charge de chacune des parties. En conséquence B______ sera condamné à verser à A______ la somme de 200 fr. * * * * * *</w:t>
      </w:r>
    </w:p>
    <w:p>
      <w:r>
        <w:t>- 9/10 -</w:t>
      </w:r>
    </w:p>
    <w:p>
      <w:r>
        <w:t>C/10980/2017-CS PAR CES MOTIFS, La Chambre de surveillance : A la forme : Déclare recevable le recours formé le 28 février 2018 par A______ contre l'ordonnance DTAE/6878/2017 rendue le 12 décembre 2017 par le Tribunal de protection de l'adulte et de l'enfant dans la cause C/10980/2017-6. Au fond : Modifie le chiffre 3 de cette ordonnance de la manière suivante : Réserve à A______ un droit aux relations personnelles sur sa fille C______ qui s'exercera, sauf accord contraire entre les parents, du samedi 10h00 au mardi 19h30 durant les semaines paires, du lundi 07h30 au mardi 19h30 durant les semaines impaires ainsi que durant la moitié des vacances scolaires, étant précisé que les vacances avec le père ne pourront excéder deux semaines consécutives jusqu'à ce que C______ soit âgée de trois ans et devront être suivies d'une période au moins équivalente avec la mère. Confirme l'ordonnance querellée pour le surplus. Sur les frais : Arrête les frais judiciaires de recours à 400 fr., les met par moitié à charge de A______ et de B______. Les compense avec l'avance de frais de 400 fr. fournie par A______. Condamne B______ à verser à A______ la somme de 200 fr. Siégeant : Monsieur Cédric-Laurent MICHEL, président; Mesdames Ursula ZEHETBAUER GHAVAMI et Jocelyne DEVILLE-CHAVANNE, juges; Madame Carmen FRAGA, greffière.</w:t>
      </w:r>
    </w:p>
    <w:p>
      <w:r>
        <w:t>- 10/10 -</w:t>
      </w:r>
    </w:p>
    <w:p>
      <w:r>
        <w:t>C/10980/2017-CS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