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DAS/181/2017 vom 15. September 2017</w:t>
      </w:r>
    </w:p>
    <w:p>
      <w:r>
        <w:t>GE Cour de justice, 2017-09-15, FR</w:t>
      </w:r>
    </w:p>
    <w:p>
      <w:r>
        <w:rPr>
          <w:b/>
        </w:rPr>
        <w:t xml:space="preserve">Quelle: </w:t>
      </w:r>
      <w:r>
        <w:t>https://mcp.opencaselaw.ch/entscheid/ge_gerichte_DAS_181_2017</w:t>
      </w:r>
    </w:p>
    <w:p>
      <w:r>
        <w:t>FR: GE_GERICHTE DAS/181/2017 du 15 septembre 2017</w:t>
      </w:r>
    </w:p>
    <w:p>
      <w:r>
        <w:t>IT: GE_GERICHTE DAS/181/2017 del 15 settembre 2017</w:t>
      </w:r>
    </w:p>
    <w:p>
      <w:pPr>
        <w:pStyle w:val="Heading2"/>
      </w:pPr>
      <w:r>
        <w:t>Erwägungen</w:t>
      </w:r>
    </w:p>
    <w:p>
      <w:r>
        <w:rPr>
          <w:b/>
        </w:rPr>
        <w:t>E. 1</w:t>
      </w:r>
    </w:p>
    <w:p>
      <w:r>
        <w:t>1.1.1 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w:t>
      </w:r>
    </w:p>
    <w:p>
      <w:r>
        <w:rPr>
          <w:b/>
        </w:rPr>
        <w:t>E. 1.2</w:t>
      </w:r>
    </w:p>
    <w:p>
      <w:r>
        <w:t>En l'espèce, les consorts A______, B_____, C______ et D______ ont intitulé leurs recours "appel", suivant en cela l'indication erronée mentionnée par la Justice de paix dans la décision attaquée. Cet intitulé est toutefois dépourvu de conséquences, dans la mesure où les actes en question remplissent les conditions de recevabilité du recours de l'art. 319 let. b ch. 1 CPC prévues à l'art. 321 al. 1 et</w:t>
      </w:r>
    </w:p>
    <w:p>
      <w:r>
        <w:rPr>
          <w:b/>
        </w:rPr>
        <w:t>E. 1.3</w:t>
      </w:r>
    </w:p>
    <w:p>
      <w:r>
        <w:t>Dans le cadre d'un recours, le pouvoir d'examen de la Cour est limité à la violation du droit et à la constatation manifestement inexacte des faits (art. 320 CPC).</w:t>
      </w:r>
    </w:p>
    <w:p>
      <w:r>
        <w:rPr>
          <w:b/>
        </w:rPr>
        <w:t>E. 2</w:t>
      </w:r>
    </w:p>
    <w:p>
      <w:r>
        <w:t>CPC, s'agissant tant de la forme que du délai. Les recours seront par conséquent déclarés recevables et traités dans une seule et même décision.</w:t>
      </w:r>
    </w:p>
    <w:p>
      <w:r>
        <w:rPr>
          <w:b/>
        </w:rPr>
        <w:t>E. 2.1</w:t>
      </w:r>
    </w:p>
    <w:p>
      <w:r>
        <w:t>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w:t>
      </w:r>
    </w:p>
    <w:p>
      <w:r>
        <w:t>- 7/9 -</w:t>
      </w:r>
    </w:p>
    <w:p>
      <w:r>
        <w:t>C/30001/2009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rPr>
          <w:b/>
        </w:rPr>
        <w:t>E. 2.2</w:t>
      </w:r>
    </w:p>
    <w:p>
      <w:r>
        <w:t>Dans le cas d'espèce, la Justice de paix a motivé sa décision de suspension par le fait que le sort des avoirs successoraux litigieux dépendait de l'issue de la procédure pénale, sans expliciter davantage sa motivation que la Cour ne peut suivre. Les recourants ont certes été mis en prévention sur plusieurs chefs d'inculpation, pour avoir dissimulé à l'intimé les avoirs détenus par feu F______ auprès de la Banque H______. Toutefois, le sort desdits avoirs et leur répartition ne dépend pas à proprement parler de la procédure pénale en cours, mais des décisions que prendront les juridictions civiles chargées de régler la succession de feu F______, dans le cadre desquelles l'intimé pourra faire valoir les droits qu'il considère avoir en sa qualité de fils du défunt, qui n'est, en tant que telle, pas contestée par les autres parties. La requête adressée le 29 octobre 2015 par l'intimé à la Justice de paix avait notamment pour but de faire interdiction à H______ de disposer de quelque manière que ce soit des avoirs au nom de feu F______ ou de sa succession et ce afin d'éviter que les recourants ne les fassent disparaître, au préjudice de l'intimé, lequel revendique l'attribution d'une partie de ces fonds. La pertinence d'une telle requête, laquelle revêt par essence une certaine urgence, peut être examinée sans attendre l'issue de la procédure pénale en cours, étant relevé qu'il n'existe aucun</w:t>
      </w:r>
    </w:p>
    <w:p>
      <w:r>
        <w:t>- 8/9 -</w:t>
      </w:r>
    </w:p>
    <w:p>
      <w:r>
        <w:t>C/30001/2009 risque de décisions contradictoires, les juridictions pénales et la Justice de paix étant saisies de problématiques différentes. La Justice de paix est en effet en l'état exclusivement saisie d'une requête de mesures conservatoires et en reddition de comptes, laquelle peut être tranchée sur la seule base des éléments figurant d'ores et déjà à la procédure, étant relevé que le fait que les fonds en cause fassent l'objet d'un séquestre pénal n'empêche pas qu'ils fassent, le cas échéant, également l'objet d'une mesure de blocage ordonnée par la justice civile. La requête soumise à la Justice de paix il y a bientôt deux ans mérite d'autant plus d'être tranchée sans attendre que la question même de la compétence de cette juridiction se pose, comme elle l'a admis elle-même dans un courrier adressé à l'intimé le 18 mars 2016. Or, cette question de compétence peut être tranchée sans connaître le sort de la procédure pénale en cours. La Cour relève enfin que la question du maintien à tout le moins d'une partie des conclusions prises par l'intimé devant la Justice de paix se pose, dans la mesure où celles-ci sont dirigées à l'encontre de la Banque H______, alors qu'il ressort de la procédure que les fonds ne sont plus déposés auprès de cet établissement mais ont été transférés auprès d'une autre banque à Zurich. Cette question peut également faire l'objet d'un examen sans attendre l'issue de la procédure pénale. Au vu de ce qui précède, la décision attaquée sera annulée et la cause renvoyée devant la Justice de paix pour être instruite et tranchée.</w:t>
      </w:r>
    </w:p>
    <w:p>
      <w:r>
        <w:rPr>
          <w:b/>
        </w:rPr>
        <w:t>E. 3</w:t>
      </w:r>
    </w:p>
    <w:p>
      <w:r>
        <w:t>Les frais sont mis à la charge de la partie succombante (art. 106 al. 1 CPC). Les frais, arrêtés à 2'000 fr. (art. 41 RTFMC), seront mis à la charge de l'intimé, qui succombe. Ils seront compensés avec les avances de frais fournies par les recourants, qui restent acquises à l'Etat de Genève (art. 111 al. 1 CPC). L'intimé sera en conséquence condamné à verser la somme de 2'000 fr. aux recourants, pris conjointement et solidairement. L'intimé devra en outre verser aux recourants, pris conjointement et solidairement, la somme de 2'000 fr. à titre de dépens, débours et TVA compris (art. 87, 88 et 90 RTFMC). * * * * * *</w:t>
      </w:r>
    </w:p>
    <w:p>
      <w:r>
        <w:t>- 9/9 -</w:t>
      </w:r>
    </w:p>
    <w:p>
      <w:r>
        <w:t>C/30001/2009 PAR CES MOTIFS, La Chambre civile : A la forme : Déclare recevables les recours formés respectivement par A______, B______, C______ et D______ le 26 mai 2017 à l'encontre de la décision DJP/229/2017 rendue le 12 mai 2017 par la Justice de paix dans la cause C/30001/2009. Au fond : Annule la décision attaquée. Renvoie la cause à la Justice de paix pour suite d'instruction et nouvelle décision. Sur les frais : Arrête les frais judiciaires à 2'000 fr., les met à la charge de E______ et les compense avec les avances de frais effectuées par A______, B______, C______ et D______, lesquelles restent acquises à l'Etat de Genève. Condamne en conséquence E______ à payer à A______, B______, C______ et D______, pris conjointement et solidairement, la somme de 2'000 fr. à titre de remboursement des frais judiciaires. Condamne E______ à payer à A______, B______, C______ et D______, pris conjointement et solidairement, la somme de 2'000 fr. à titre de dépens. Siégeant : Monsieur Cédric-Laurent MICHEL, président; Mesdames Paola CAMPOMAGNANI et Joceline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