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DAS/179/2021 vom 8. Juni 2021</w:t>
      </w:r>
    </w:p>
    <w:p>
      <w:r>
        <w:t>GE Cour de justice, 2021-06-08, FR</w:t>
      </w:r>
    </w:p>
    <w:p>
      <w:r>
        <w:rPr>
          <w:b/>
        </w:rPr>
        <w:t xml:space="preserve">Quelle: </w:t>
      </w:r>
      <w:r>
        <w:t>https://mcp.opencaselaw.ch/entscheid/ge_gerichte_DAS_179_2021</w:t>
      </w:r>
    </w:p>
    <w:p>
      <w:r>
        <w:t>FR: GE_GERICHTE DAS/179/2021 du 8 juin 2021</w:t>
      </w:r>
    </w:p>
    <w:p>
      <w:r>
        <w:t>IT: GE_GERICHTE DAS/179/2021 del 8 giugno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soit la mère de l'enfant en cause,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Par avis du greffe du 11 juin 2021, un délai de 30 jours a été imparti à l'intimé pour répondre au recours. Cet avis ayant été reçu le 15 juin 2021 au domicile élu de l'intimé, celui-ci disposait par conséquent d'un délai arrivant à échéance le 15 juillet 2021 pour répondre. Or, son écriture du 24 juin 2021 ne portait que sur</w:t>
      </w:r>
    </w:p>
    <w:p>
      <w:r>
        <w:t>- 11/17 -</w:t>
      </w:r>
    </w:p>
    <w:p>
      <w:r>
        <w:t>C/12493/2016-CS la question de l'effet suspensif, de sorte qu'il y a lieu de considérer que l'intimé n'a pas répondu sur le fond dans le délai imparti pour ce faire. L'écriture qu'il a adressée au greffe de la Cour le 28 juillet 2021, en tant qu'il s'agissait d'une réponse au recours, est tardive et partant irrecevable. La recourante était en droit, à réception des écritures du 28 juillet 2021, d'en relever la tardiveté, de sorte que son écriture du 5 août 2021 est recevable. La question de la recevabilité de l'envoi de l'intimé du 17 août 2021 peut demeurer indécise, son contenu étant sans pertinence sur l'issue du litige, au vu de ce qui va suivre.</w:t>
      </w:r>
    </w:p>
    <w:p>
      <w:r>
        <w:rPr>
          <w:b/>
        </w:rPr>
        <w:t>E. 2</w:t>
      </w:r>
    </w:p>
    <w:p>
      <w:r>
        <w:t>La recourante se plaint de ce que le Tribunal de protection a omis de retenir un certain nombre de faits pertinents ressortant de la procédure. La Chambre de surveillance a complété, dans la mesure utile, l'état de fait du Tribunal de protection, de sorte qu'il n'y a pas lieu de revenir sur ce point.</w:t>
      </w:r>
    </w:p>
    <w:p>
      <w:r>
        <w:rPr>
          <w:b/>
        </w:rPr>
        <w:t>E. 3</w:t>
      </w:r>
    </w:p>
    <w:p>
      <w:r>
        <w:t>3.1.1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(ou la garde).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w:t>
      </w:r>
    </w:p>
    <w:p>
      <w:r>
        <w:t>- 12/17 -</w:t>
      </w:r>
    </w:p>
    <w:p>
      <w:r>
        <w:t>C/12493/2016-CS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 3.1.2 Le juge apprécie librement la force probante d'une expertise. Dans le domaine des connaissances professionnelles particulières, il ne peut toutefois s'écarter des conclusions de l'expert que pour des motifs importants qu'il lui incombe d'indiquer, par exemple lorsque le rapport d'expertise présente des contradictions ou attribue un sens ou une portée inexacts aux documents et déclarations auxquels il se réfère.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(ATF 138 III 193 consid. 4.3.1, 136 II 539 consid. 3.2; arrêts du Tribunal fédéral 4A_396/2015 du 9 février 2016 consid. 4.1; 5A_859/2014 du 17 mars 2015 consid. 4.1.3.2; BOVEY, Le juge face à l'expert, in: La preuve en droit de la responsabilité civile, 2011, p. 111-112 et les références citées).</w:t>
      </w:r>
    </w:p>
    <w:p>
      <w:r>
        <w:rPr>
          <w:b/>
        </w:rPr>
        <w:t>E. 3.2</w:t>
      </w:r>
    </w:p>
    <w:p>
      <w:r>
        <w:t>En l'espèce, les modalités du droit de visite de l'intimé sur son fils sont litigieuses depuis 2016, la situation s'étant compliquée en 2018 suite aux suspicions d'abus sexuels du père sur l'enfant, qui ont conduit à l'ouverture d'une procédure pénale et à la suspension, pendant une certaine période, de toutes relations personnelles. Compte tenu de la complexité de la situation, le Tribunal de protection a considéré qu'une expertise familiale était nécessaire, qu'il a ordonnée le 18 novembre 2019. Le fruit du travail des expertes, soit un rapport de plus de soixante pages, apparaît particulièrement approfondi et détaillé; les expertes ont par ailleurs été longuement entendues par le Tribunal de protection</w:t>
      </w:r>
    </w:p>
    <w:p>
      <w:r>
        <w:t>- 13/17 -</w:t>
      </w:r>
    </w:p>
    <w:p>
      <w:r>
        <w:t>C/12493/2016-CS devant lequel elles ont fourni des explications complémentaires. Au vu du résultat de leur analyse, les expertes ont fait un certain nombre de recommandations s'agissant des modalités du droit de visite, dont le Tribunal de protection ne pouvait s'écarter que si des objections sérieuses étaient venues ébranler le caractère concluant de l'expertise. Or, tel n'était pas le cas, contrairement à ce que les premiers juges ont retenu. Les expertes ont en effet expliqué que l'intimé peinait à poser un cadre et des limites à son fils, en particulier s'agissant de ce qui était admissible et de ce qui ne l'était pas en matière d'intimité. La procédure pénale ouverte à son encontre a certes été classée et les allégations du mineur E______ ont été considérées comme faiblement crédibles par les experts ayant rendu le rapport de crédibilité du 23 janvier 2019. Lesdits experts ont toutefois retenu que l'intimé avait accepté que son fils touche son sexe à une reprise, comportement qu'ils ont considéré comme inadéquat en terme d'éducation à la sexualité, sans qualifier les faits d'abus sexuel. Ces faits ne sauraient être purement et simplement passés sous silence, comme l'a fait le Tribunal de protection dans les considérants de sa décision. Or, si les expertes ont retenu, dans le cadre de l'expertise familiale, que l'enfant avait intégré des limites au sujet de l'intime, notamment à l'école, tel n'était en revanche pas le cas lorsqu'il se trouvait avec son père, raison pour laquelle elles préconisaient, en l'état, un droit de visite limité, sans les nuits, afin d'éviter les moments d'intimité, avec un élargissement possible en fonction des avancées de B______ sur les différents points problématiques relevés à son sujet. A cette première problématique, non prise en considération par le Tribunal de protection, s'ajoute celle, découverte lors de l'expertise familiale, de la consommation de cocaïne et d'alcool par B______. L'intimé n'est pas crédible lorsqu'il affirme que les expertes ne lui ont posé aucune question sur ce point, alors que le rapport d'expertise mentionne clairement les réponses qu'il a données, tant sur la fumée, que sur l'alcool et les stupéfiants. Quoiqu'il en soit, il résulte des analyses toxicologiques effectuées que l'intimé consomme de la cocaïne. Ce dernier a certes allégué qu'il s'était agi d'une seule prise, lors d'une soirée chez des amis, affirmation toutefois contredite par la chimiste ayant effectué les analyses, selon laquelle les résultats n'étaient pas compatibles avec une consommation isolée. Il découle par conséquent de ce qui précède que l'intimé s'est montré pour le moins fuyant s'agissant de sa consommation d'alcool et de cocaïne, qu'il a tenté de dissimuler aux expertes et par voie de conséquence au Tribunal de protection. Un tel comportement interpelle, alors que les parties doivent apprendre à se faire confiance l'une l'autre et justifie d'autant plus de n'élargir le droit aux relations personnelles de B______ avec son fils qu'après s'être assuré qu'il soit effectivement suivi sur le plan thérapeutique, alors qu'en l'état il a contesté, puis devant l'évidence, minimisé sa consommation de cocaïne et qu'il soit en mesure de gérer pendant plusieurs jours de suite un enfant encore jeune. A nouveau, le Tribunal de protection n'a tenu aucun compte de ces éléments, considérant, sur la</w:t>
      </w:r>
    </w:p>
    <w:p>
      <w:r>
        <w:t>- 14/17 -</w:t>
      </w:r>
    </w:p>
    <w:p>
      <w:r>
        <w:t>C/12493/2016-CS seule base des rapports du Point rencontre et du fait que les professionnels entourant l'enfant n'avaient pas exprimé d'inquiétude particulière, qu'il pouvait s'écarter des conclusions de l'expertise. Les éléments mentionnés par le Tribunal de protection ne sont toutefois pas suffisants pour s'écarter desdites conclusions, lesquelles ont été prises, encore une fois, après un examen approfondi et global de la situation, alors que le Point rencontre et les professionnels prenant en charge le mineur n'ont qu'une vision partielle de celle-ci. Par ailleurs, si le Tribunal de protection a estimé nécessaire de recourir à une expertise familiale, c'est qu'il considérait ne pas avoir au dossier les éléments lui permettant de trancher et que l'analyse détaillée des experts lui était, quoiqu'il en soit, nécessaire. Il ne saurait par conséquent, après coup et sans raisons objectivement suffisantes, faire fi en quelques lignes des conclusions de l'expertise et des dernières recommandations du Service de protection des mineurs, et statuer sur la seule base des éléments figurant au dossier, alors qu'il les avait considérés insuffisants dans un premier temps. Au vu de ce qui précède, le droit de visite du père sera fixé conformément aux conclusions de l'expertise et des recommandations faites par le Service de protection des mineurs après celle-ci, soit à raison d'un dimanche sur deux (semaines impaires) entre 9h20 et 17h00, avec passage de l'enfant au Point rencontre, à la condition que le père s'engage dans un suivi en addictologie. Dans la mesure où le père exerce déjà un droit de visite durant la journée et qu'il a pris l'engagement, depuis plusieurs mois, d'effectuer un tel suivi, un délai de 15 jours lui sera imparti pour justifier de celui-ci auprès des curateurs de l'enfant. Il lui appartiendra en outre de remettre chaque mois aux curateurs une confirmation de la poursuite dudit suivi. S'il devait s'avérer qu'un tel suivi n'a pas été entrepris dans le délai fixé ou s'il ne devait pas être régulier, le droit de visite devra s'exercer au sein du Point rencontre à raison d'une heure par quinzaine en modalité "1 pour 1". Il appartiendra par ailleurs aux curateurs de l'enfant, en fonction de l'évolution de la situation, de formuler auprès du Tribunal de protection des propositions d'élargissement dudit droit de visite. Les chiffres 1, 2 et 3 du dispositif de l'ordonnance attaquée seront annulés et il sera statué conformément à ce qui précède.</w:t>
      </w:r>
    </w:p>
    <w:p>
      <w:r>
        <w:rPr>
          <w:b/>
        </w:rPr>
        <w:t>E. 4</w:t>
      </w:r>
    </w:p>
    <w:p>
      <w:r>
        <w:t>Sous chiffre 5 du dispositif de son ordonnance, le Tribunal de protection a donné acte aux père et mère de ce qu'ils consentaient à participer à un suivi de parentalité auprès du Dr N______. Il ressort toutefois du rapport du Service de protection des mineurs du 23 décembre 2020 que le travail thérapeutique du Dr N______ devait rester concentré sur l'enfant, les parents devant effectuer un travail de guidance parentale individualisé, voire surtout travailler sur leur coparentalité.</w:t>
      </w:r>
    </w:p>
    <w:p>
      <w:r>
        <w:t>Il ne résulte par conséquent pas de ce qui précède que le Dr N______ soit disposé à accepter d'assumer un suivi de parentalité pour les deux parties, ni qu'un tel travail soit réellement nécessaire.</w:t>
      </w:r>
    </w:p>
    <w:p>
      <w:r>
        <w:t>- 15/17 -</w:t>
      </w:r>
    </w:p>
    <w:p>
      <w:r>
        <w:t>C/12493/2016-CS</w:t>
      </w:r>
    </w:p>
    <w:p>
      <w:r>
        <w:t>Au vu de ce qui précède, le chiffre 5 du dispositif de l'ordonnance attaquée sera annulé. 5-. La procédure, qui porte pour l'essentiel sur la question des relations personnelles, n'est pas gratuite (art. 19 LaCC; art. 54 et 67B du Règlement fixant le tarif des frais en matière civile). Les frais judiciaires seront arrêtés à 400 fr. et laissés à la charge de l'Etat, au vu de l'issue de la procédure. La recourante étant au bénéfice de l'assistance judiciaire, aucune avance de frais n'a été versée.</w:t>
      </w:r>
    </w:p>
    <w:p>
      <w:r>
        <w:t>Compte tenu de la nature familiale du litige, il ne sera pas alloué de dépens (art. 107 al. 1 let. c CPC).</w:t>
      </w:r>
    </w:p>
    <w:p>
      <w:r>
        <w:t>* * * * *</w:t>
      </w:r>
    </w:p>
    <w:p>
      <w:r>
        <w:t>- 16/17 -</w:t>
      </w:r>
    </w:p>
    <w:p>
      <w:r>
        <w:t>C/12493/2016-CS</w:t>
      </w:r>
    </w:p>
    <w:p>
      <w:r>
        <w:t>PAR CES MOTIFS, La Chambre de surveillance : A la forme : Déclare recevable le recours formé par A______ contre l'ordonnance DTAE/2461/2021 rendue le 23 mars 2021 par le Tribunal de protection de l'adulte et de l'enfant dans la cause C/12493/2016. Au fond : Annule les chiffres 1, 2, 3 et 5 de son dispositif et cela fait, statuant à nouveau: Réserve à B______ un droit de visite sur son fils E______ devant s'exercer un dimanche sur deux (semaines impaires) de 9h20 à 17h00, avec passage de l'enfant au Point rencontre, à la condition que B______ s'engage dans un suivi en addictologie. Impartit dès lors à B______ un délai de 15 jours pour fournir aux curateurs de l'enfant une preuve dudit suivi. Ordonne par ailleurs à B______ de remettre aux curateurs, une fois par mois, une attestation faisant état de la poursuite régulière dudit suivi. Dit qu'à défaut, le droit de visite de B______ sur son fils E______ devra s'exercer au sein du Point rencontre, à raison d'une heure à quinzaine, selon la modalité "1 pour 1". Confirme pour le surplus l'ordonnance attaquée. Sur les frais : Arrête les frais de la procédure à 400 fr. et les laisse à la charge de l'Etat de Genève. Dit qu'il n'est pas alloué de dépens. Siégeant : Monsieur Cédric-Laurent MICHEL, président; Mesdames Paola CAMPOMAGNANI et Jocelyne DEVILLE-CHAVANNE, juges; Madame Jessica QUINODOZ, greffière.</w:t>
      </w:r>
    </w:p>
    <w:p>
      <w:r>
        <w:t>- 17/17 -</w:t>
      </w:r>
    </w:p>
    <w:p>
      <w:r>
        <w:t>C/12493/2016-CS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