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DAS/179/2019 vom 3. Juni 2019</w:t>
      </w:r>
    </w:p>
    <w:p>
      <w:r>
        <w:t>GE Cour de justice, 2019-06-03, FR</w:t>
      </w:r>
    </w:p>
    <w:p>
      <w:r>
        <w:rPr>
          <w:b/>
        </w:rPr>
        <w:t xml:space="preserve">Quelle: </w:t>
      </w:r>
      <w:r>
        <w:t>https://mcp.opencaselaw.ch/entscheid/ge_gerichte_DAS_179_2019</w:t>
      </w:r>
    </w:p>
    <w:p>
      <w:r>
        <w:t>FR: GE_GERICHTE DAS/179/2019 du 3 juin 2019</w:t>
      </w:r>
    </w:p>
    <w:p>
      <w:r>
        <w:t>IT: GE_GERICHTE DAS/179/2019 del 3 giugno 2019</w:t>
      </w:r>
    </w:p>
    <w:p>
      <w:pPr>
        <w:pStyle w:val="Heading2"/>
      </w:pPr>
      <w:r>
        <w:t>Erwägungen</w:t>
      </w:r>
    </w:p>
    <w:p>
      <w:r>
        <w:rPr>
          <w:b/>
        </w:rPr>
        <w:t>E. 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dans le délai utile et selon la forme prescrite, le recours est recevable.</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La recourante reproche au Tribunal de protection de n'avoir pas subordonné le droit de visite réservé au père à la présence de la mère durant les trois premiers mois et au suivi d'un programme auprès de l'Ecole des parents.</w:t>
      </w:r>
    </w:p>
    <w:p>
      <w:r>
        <w:rPr>
          <w:b/>
        </w:rPr>
        <w:t>E. 3.1</w:t>
      </w:r>
    </w:p>
    <w:p>
      <w:r>
        <w:t>Le parent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 ceux-ci (cf. art. 273 al. 2 CC), mais aussi comme un droit de la personnalité de l'enfant; il doit servir en premier lieu l'intérêt de celui-ci (ATF 131 III 209 consid. 5 et réf.; 142 III 617 consid. 3.2.3). Dans chaque cas, la décision doit donc être prise de manière à répondre le mieux possible à ses besoins (ATF 129 III 250</w:t>
      </w:r>
    </w:p>
    <w:p>
      <w:r>
        <w:t>- 6/8 -</w:t>
      </w:r>
    </w:p>
    <w:p>
      <w:r>
        <w:t>C/12157/2016-CS consid. 3.4.2 et les références; arrêt 5A_111/2019 du 9 juillet 2019 consid. 2.3), l'intérêt des parents étant relégué à l'arrière-plan (ATF 130 III 585 consid. 2.2.1 et les références; arrêt 5A_111/2019 précité consid. 2.3). L'exercice du droit de visite peut être limité soit par une réduction de la durée ou de la fréquence des visites, soit par la mise en place de modalités particulières, mesures qui peuvent être cumulées. Pour imposer de telles modalités, il faut également des indices concrets de mise en danger du bien de l'enfant. Il y a dans tous les cas lieu de respecter le principe de proportionnalité (MEIER/STETTLER, Droit de la filiation, 5ème éd. (2014), no 790-791). Le juge dispose d'un large pouvoir d'appréciation dans la fixation du droit de visite (ATF 122 III 404 consid. 3d = JdT 1998 I 46).</w:t>
      </w:r>
    </w:p>
    <w:p>
      <w:r>
        <w:rPr>
          <w:b/>
        </w:rPr>
        <w:t>E. 3.2</w:t>
      </w:r>
    </w:p>
    <w:p>
      <w:r>
        <w:t>En l'espèce, le Tribunal de protection a, dans la décision entreprise, fixé le droit de visite du père à raison de deux demi-journées pendant deux mois, puis ensuite, avec l'accord des curateurs, à raison d'une journée par semaine. Il a correctement apprécié les circonstances du cas d'espèce et réglementé les relations personnelles selon des modalités adéquates et conformes au bien de l'enfant. Les liens entre l'enfant et son père sont en effet nécessaires au bon développement du mineur et il est essentiel que ce dernier voie régulièrement son père. La reprise progressive du droit de visite prévue dans la décision attaquée est adaptée aux circonstances compte tenu des inquiétudes de la mère, des difficultés de séparation entre la mère et l'enfant et de la suspension des relations entre l'enfant et son père à la suite de la séparation des parents. Devant la Chambre de surveillance, la mère fait à nouveau état de comportements inadéquats du père à l'égard de son fils, à savoir qu'il aurait giflé l'enfant, l'aurait plaqué sur le lit et l'aurait initié à des jeux de bagarre. L'instruction menée par le Tribunal de protection ne permet toutefois pas de retenir que le père est inadéquat dans la prise en charge de son enfant. Le père a accepté de fréquenter l'Ecole des parents pour compléter certaines compétences parentales en relation avec la prise en charge d'un enfant en bas âge, mais aucun élément au dossier ne justifie cependant de subordonner l'exercice du droit de visite à un tel suivi comme le requiert la recourante. Il résulte enfin du dossier que depuis plus d'une année, le père voit son fils une à deux fois par semaine en présence de la mère, de sorte que la transition a déjà été effectuée et que les relations entre l'enfant et son père ont repris de manière progressive. Il apparaît dès lors essentiel, comme l'a à raison relevé le Tribunal de protection, que les liens entre l'enfant et son père se construisent en l'absence de la mère pour permettre au père d'investir son rôle parental.</w:t>
      </w:r>
    </w:p>
    <w:p>
      <w:r>
        <w:t>- 7/8 -</w:t>
      </w:r>
    </w:p>
    <w:p>
      <w:r>
        <w:t>C/12157/2016-CS Les modalités du droit de visite fixées dans la décision attaquée seront en conséquence confirmées dès lors qu'elles sont adéquates et conformes au bien de l'enfant.</w:t>
      </w:r>
    </w:p>
    <w:p>
      <w:r>
        <w:rPr>
          <w:b/>
        </w:rPr>
        <w:t>E. 4</w:t>
      </w:r>
    </w:p>
    <w:p>
      <w:r>
        <w:t>Les frais judiciaires de recours, arrêtés à 400 fr. (art. 19 LaCC; 67B RTFMC), seront mis à la charge de la recourante qui succombe. Ils seront provisoirement supportés par l'Etat de Genève, dès lors qu'elle plaide au bénéfice de l'assistance judiciaire.</w:t>
      </w:r>
    </w:p>
    <w:p>
      <w:r>
        <w:t>Chaque partie supportera ses propres dépens (art. 107 al. 1 CPC). * * * * *</w:t>
      </w:r>
    </w:p>
    <w:p>
      <w:r>
        <w:t>- 8/8 -</w:t>
      </w:r>
    </w:p>
    <w:p>
      <w:r>
        <w:t>C/12157/2016-CS PAR CES MOTIFS, La Chambre de surveillance : A la forme : Déclare recevable le recours formé le 3 juin 2019 par A______ contre l'ordonnance DTAE/2418/2019 rendue le 12 mars 2019 par le Tribunal de protection de l'adulte et de l'enfant dans la cause C/12157/2016-5. Au fond : Le rejette. Arrête les frais de la procédure de recours à 400 fr., les met à la charge de A______ et les laisse provisoirement à la charge de l'Etat de Genève. Dit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