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DAS/178/2025 vom 25. September 2025</w:t>
      </w:r>
    </w:p>
    <w:p>
      <w:r>
        <w:t>GE Cour de justice, 2025-09-25, FR</w:t>
      </w:r>
    </w:p>
    <w:p>
      <w:r>
        <w:rPr>
          <w:b/>
        </w:rPr>
        <w:t xml:space="preserve">Quelle: </w:t>
      </w:r>
      <w:r>
        <w:t>https://mcp.opencaselaw.ch/entscheid/ge_gerichte_DAS_178_2025</w:t>
      </w:r>
    </w:p>
    <w:p>
      <w:r>
        <w:t>FR: GE_GERICHTE DAS/178/2025 du 25 septembre 2025</w:t>
      </w:r>
    </w:p>
    <w:p>
      <w:r>
        <w:t>IT: GE_GERICHTE DAS/178/2025 del 25 settembre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Les décisions du juge de paix, qui relèvent de la juridiction gracieuse et sont soumises à la procédure sommaire (art. 248 let. e CPC), sont susceptibles d'un appel dans le délai de dix jours (art. 314 al. 1 CPC) à la Chambre civile de la Cour de justice (art. 120 al. 2 LOJ), si la valeur litigieuse est égale ou supérieure à 10'000 fr. (art. 308 al. 2 CPC). L'appel doit être motivé (art. 311 al. 1 CPC). L’intitulé erroné d’un acte de recours – au sens large – est simplement rectifié, lorsque cet acte remplit les conditions de recevabilité du recours qui aurait dû être interjeté (ATF 134 III 379). L'exigence d'un intérêt à recourir est requise pour l'exercice de toute voie de droit (ATF 130 III 102 c. 1.3; ATF 127 III 429 c. 1b). La Cour revoit la cause en fait et en droit, avec un plein pouvoir d'examen (art. 310 CPC).</w:t>
      </w:r>
    </w:p>
    <w:p>
      <w:r>
        <w:rPr>
          <w:b/>
        </w:rPr>
        <w:t>E. 1.2</w:t>
      </w:r>
    </w:p>
    <w:p>
      <w:r>
        <w:t>En l'espèce, la valeur litigieuse prévue par l'art. 308 al. 2 CPC est atteinte, au vu des montants figurant dans le dernier relevé de E______ versé au dossier, de sorte que la voie de l’appel est ouverte. Peu importe que l’appelant ait intitulé son acte "recours administrative", ledit intitulé pouvant être rectifié d’office. L’appelant a reçu la décision litigieuse à une date indéterminée, mais au plus tôt le 18 juillet 2025, de sorte que l’appel du 25 juillet 2025 a été formé en temps utile. Il reste à déterminer, pour que l’appel soit recevable, si l’appelant a un intérêt à obtenir l’annulation de la décision attaquée. Cette question peut toutefois demeurer ouverte, pour les raisons qui vont suivre et qui rendent, quoiqu’il en soit, l’appel infondé.</w:t>
      </w:r>
    </w:p>
    <w:p>
      <w:r>
        <w:rPr>
          <w:b/>
        </w:rPr>
        <w:t>E. 2</w:t>
      </w:r>
    </w:p>
    <w:p>
      <w:r>
        <w:t>2.1.1 Les héritiers du défunt qui n’a pas laissé de postérité sont le père et la mère (art. 458 al. 1 CC). Le père et la mère prédécédés sont représentés par leurs descendants, qui succèdent par souche à tous les degrés (art. 458 al. 2 CC).</w:t>
      </w:r>
    </w:p>
    <w:p>
      <w:r>
        <w:t>Les époux divorcés cessent d’être les héritiers légaux l’un de l’autre (art. 120 al. 2 CC).</w:t>
      </w:r>
    </w:p>
    <w:p>
      <w:r>
        <w:t>2.1.2 L’autorité ordonne l’administration d’office de la succession lorsque tous les héritiers du défunt ne sont pas connus (art. 554 al. 1 ch. 3 CC).</w:t>
      </w:r>
    </w:p>
    <w:p>
      <w:r>
        <w:t>- 4/5 -</w:t>
      </w:r>
    </w:p>
    <w:p>
      <w:r>
        <w:t>Erreur ! Source du renvoi introuvable.</w:t>
      </w:r>
    </w:p>
    <w:p>
      <w:r>
        <w:rPr>
          <w:b/>
        </w:rPr>
        <w:t>E. 2.2</w:t>
      </w:r>
    </w:p>
    <w:p>
      <w:r>
        <w:t>En l’espèce, le seul argument invoqué par l’appelant pour contester la désignation d’une administratrice d’office de la succession de C______ est qu’il serait son seul et unique héritier légal. Or, tel n’est pas le cas, puisque le divorce de l’appelant et de la défunte a été prononcé par jugement du Tribunal de première instance du 18 février 2005, de sorte que, conformément à l’art. 120 al. 2 CC, ils n’étaient plus héritiers l’un de l’autre.</w:t>
      </w:r>
    </w:p>
    <w:p>
      <w:r>
        <w:t>L’appelant n’a par conséquent aucun droit dans la succession de la défunte, sous réserve d’éventuelles dispositions testamentaires dont il ne fait toutefois nullement état.</w:t>
      </w:r>
    </w:p>
    <w:p>
      <w:r>
        <w:t>Pour le surplus, la mention d’un "pacte successoral daté du 21 juillet 2025" figurant dans l’acte d’appel n’a aucun sens, la date mentionnée étant postérieure au décès de C______. Il est vraisemblable que l’appelant ait eu l’intention de désigner, par ce biais, la décision litigieuse.</w:t>
      </w:r>
    </w:p>
    <w:p>
      <w:r>
        <w:t>C’est dès lors à juste titre que la Justice de paix, en application de l’art. 554 al. 1 ch. 3 CC, a ordonné l’administration d’office de la succession de C______, laquelle comprend des actifs, ses héritiers légaux étant inconnus en l’état.</w:t>
      </w:r>
    </w:p>
    <w:p>
      <w:r>
        <w:t>Au vu de ce qui précède, l’appel, pour autant que recevable, est infondé.</w:t>
      </w:r>
    </w:p>
    <w:p>
      <w:r>
        <w:rPr>
          <w:b/>
        </w:rPr>
        <w:t>E. 3</w:t>
      </w:r>
    </w:p>
    <w:p>
      <w:r>
        <w:t>Les frais judiciaires seront arrêtés à 500 fr. (art. 26 et 35 ss RTFMC), mis à la charge de l’appelant, qui succombe (art. 106 al. 1 CPC) et compensés avec l’avance de frais versée, qui reste acquise à l’Etat de Genève (art. 111 al. 1 CPC). * * * * *</w:t>
      </w:r>
    </w:p>
    <w:p>
      <w:r>
        <w:t>- 5/5 -</w:t>
      </w:r>
    </w:p>
    <w:p>
      <w:r>
        <w:t>Erreur ! Source du renvoi introuvable. PAR CES MOTIFS, La Chambre civile :</w:t>
      </w:r>
    </w:p>
    <w:p>
      <w:r>
        <w:t>Au fond : Rejette, dans la mesure de sa recevabilité, l’appel formé par A______ contre la décision DJP/683/2025 rendue le 1er juillet 2025 par la Justice de paix dans la cause C/5571/2025. Sur les frais : Arrête les frais judiciaires de l’appel à 500 fr., les met à la charge de A______ et les compense avec l’avance versée, qui reste acquise à l’Etat de Genève. Siégeant : Madame Jocelyne DEVILLE-CHAVANNE, présidente; Monsieur Cédric-Laurent MICHEL et Madame Paola CAMPOMAGNANI,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