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DAS/174/2023 vom 17. Juli 2023</w:t>
      </w:r>
    </w:p>
    <w:p>
      <w:r>
        <w:t>GE Cour de justice, 2023-07-17, FR</w:t>
      </w:r>
    </w:p>
    <w:p>
      <w:r>
        <w:rPr>
          <w:b/>
        </w:rPr>
        <w:t xml:space="preserve">Quelle: </w:t>
      </w:r>
      <w:r>
        <w:t>https://mcp.opencaselaw.ch/entscheid/ge_gerichte_DAS_174_2023</w:t>
      </w:r>
    </w:p>
    <w:p>
      <w:r>
        <w:t>FR: GE_GERICHTE DAS/174/2023 du 17 juillet 2023</w:t>
      </w:r>
    </w:p>
    <w:p>
      <w:r>
        <w:t>IT: GE_GERICHTE DAS/174/2023 del 17 luglio 2023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Il sera statué sur les frais relatifs à la présente décision dans la décision au fond (art. 104 al. 3 CPC). * * * * *</w:t>
      </w:r>
    </w:p>
    <w:p>
      <w:r>
        <w:t>- 6/6 -</w:t>
      </w:r>
    </w:p>
    <w:p>
      <w:r>
        <w:t>Error! Reference source not found. PAR CES MOTIFS, La Chambre civile : Statuant sur mesures superprovisionnelles : Constate que la requête de mesures superprovisionnelles formée par A______ et B______ dans l’appel du 7 juillet 2023 dirigé contre la décision DJP/279/2023 du 23 juin 2023 dans la cause C/27656/2020 est devenue sans objet. Les déboute en conséquence de leurs conclusions. Renvoie la question des frais judiciaires relatifs à la présente décision à la décision au fond. Siégeant : Madame Paola CAMPOMAGNANI, présidente ad interim ; Monsieur Laurent RIEBEN et Madame Nathalie RAPP, juges ; Madame Jessica QUINODOZ, greffière.</w:t>
      </w:r>
    </w:p>
    <w:p>
      <w:r>
        <w:t>S'agissant de mesures superprovisionnelles, il n'y a pas de voie de recours au Tribunal fédéral (ATF 137 III 417 consid. 1.3; arrêt du Tribunal fédéral 5A_37/2013 du 1er février 2013 consid. 1.2).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