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DAS/173/2019 vom 26. August 2019</w:t>
      </w:r>
    </w:p>
    <w:p>
      <w:r>
        <w:t>GE Cour de justice, 2019-08-26, FR</w:t>
      </w:r>
    </w:p>
    <w:p>
      <w:r>
        <w:rPr>
          <w:b/>
        </w:rPr>
        <w:t xml:space="preserve">Quelle: </w:t>
      </w:r>
      <w:r>
        <w:t>https://mcp.opencaselaw.ch/entscheid/ge_gerichte_DAS_173_2019</w:t>
      </w:r>
    </w:p>
    <w:p>
      <w:r>
        <w:t>FR: GE_GERICHTE DAS/173/2019 du 26 août 2019</w:t>
      </w:r>
    </w:p>
    <w:p>
      <w:r>
        <w:t>IT: GE_GERICHTE DAS/173/2019 del 26 agosto 2019</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Les causes successorales sont, par essence, de nature pécuniaire (ATF 135 III 578 consid. 6.3; arrêt du Tribunal fédéral 5A_672/2013 du 24 février 2014 consid. 1). En matière de surveillance de l'exécuteur testamentaire, la valeur litigieuse s'apprécie au regard de la valeur des actes accomplis ou devant être accomplis par celui-ci (arrêt du Tribunal fédéral 5A_414/2012 du 19 octobre 2012 consid. 1.1 et référence citée). L'exécuteur testamentaire a qualité pour agir devant l'autorité de surveillance, notamment afin de faire approuver une mesure qu'il envisage de prendre (KARRER/VOGT/LEU, ZGB II, Basler Kommentar, 2011, n. 101 ad art. 518 CC; PILLER, Commentaire romand du CC II, 2016, n. 168 ad art. 518 CC). Il a également qualité pour recourir dès lors que la décision querellée l'entrave dans l'exécution de sa tâche (DAS/127/2012 consid. 2.2).</w:t>
      </w:r>
    </w:p>
    <w:p>
      <w:r>
        <w:rPr>
          <w:b/>
        </w:rPr>
        <w:t>E. 1.2</w:t>
      </w:r>
    </w:p>
    <w:p>
      <w:r>
        <w:t>En l'espèce, le litige porte sur un acte de l'exécuteur testamentaire représentant, pour la succession, un montant de l'ordre de 18'000'000 fr., de sorte que la voie de l'appel est ouverte. L'appel, formé par l'exécuteur testamentaire dans le délai et selon la forme prescrite par la loi (art. 130 al. 1, 131, 311 al. 1 et 314 al. 1 CPC) par-devant l'autorité compétente (art. 120 al. 2 LOJ), est recevable.</w:t>
      </w:r>
    </w:p>
    <w:p>
      <w:r>
        <w:rPr>
          <w:b/>
        </w:rPr>
        <w:t>E. 1.3</w:t>
      </w:r>
    </w:p>
    <w:p>
      <w:r>
        <w:t>La Cour revoit la cause en fait et en droit, avec un plein pouvoir d'examen (art. 310 CPC), dans la limite des griefs qui sont formulés (ATF 142 III 413 consid. 2.2.4 et les références citées).</w:t>
      </w:r>
    </w:p>
    <w:p>
      <w:r>
        <w:rPr>
          <w:b/>
        </w:rPr>
        <w:t>E. 2</w:t>
      </w:r>
    </w:p>
    <w:p>
      <w:r>
        <w:t>L'appelant fait grief au premier juge de n'avoir pas motivé la décision querellée. Il estime que la décision, confuse, peut être interprétée comme une décision d'irrecevabilité ou de rejet et que l'absence de motivation sur ce point ne donne aucune indication sur la nature réelle de la décision querellée, pas plus que sur les raisons ayant guidé le premier juge dans son raisonnement.</w:t>
      </w:r>
    </w:p>
    <w:p>
      <w:r>
        <w:rPr>
          <w:b/>
        </w:rPr>
        <w:t>E. 2.1</w:t>
      </w:r>
    </w:p>
    <w:p>
      <w:r>
        <w:t>Le droit d'être entendu, garanti à l'art. 29 al. 2 Cst., comprend le devoir pour le juge de motiver sa décision, afin que le justiciable puisse la comprendre, la contester utilement s'il y a lieu et exercer son droit de recours à bon escient (ATF 135 III 513 consid. 3.6.5; 134 I 83 consid. 4.1). Pour répondre à cette</w:t>
      </w:r>
    </w:p>
    <w:p>
      <w:r>
        <w:t>- 5/8 -</w:t>
      </w:r>
    </w:p>
    <w:p>
      <w:r>
        <w:t>C/1608/2017 exigence, il suffit que le juge mentionne, au moins brièvement, les motifs qui l'ont guidé et sur lesquels il a fondé sa décision, même si la motivation présentée est erronée (ATF 141 V 557 consid. 3.2.1 ; arrêt du Tribunal fédéral 6B_180/2018 du 12 juin 2018 consid. 1.1). Il n'est pas tenu de discuter tous les arguments soulevés par les parties, mais peut se limiter à ceux qui lui apparaissent pertinents (ATF 137 II 266 consid. 3.2; 136 I 229 consid. 5.2). En procédure sommaire, la motivation peut être plus succincte qu'en procédure ordinaire (BOHNET, Code de procédure civile commenté, 2011, n. 12 ad art. 256 CPC).</w:t>
      </w:r>
    </w:p>
    <w:p>
      <w:r>
        <w:rPr>
          <w:b/>
        </w:rPr>
        <w:t>E. 2.2</w:t>
      </w:r>
    </w:p>
    <w:p>
      <w:r>
        <w:t>En l'espèce, le premier juge a exposé – certes succinctement, ce qui est admis en procédure sommaire – les raisons qui ont guidé son raisonnement, notamment en précisant que les pouvoirs de l'exécuteur testamentaire n'étaient pas limités et que la convention ayant déjà été signée, il n'appartenait pas à la Justice de paix d'intervenir dans ce contexte. Dès lors, on ne voit pas en quoi la décision attaquée souffrirait d'un défaut de motivation. Si le dispositif de la décision querellée ("nous ne pouvons réserver une suite favorable à votre requête") peut paraître, dans sa formulation, ambigüe sur le sort finalement réservé à la requête, la lecture de la décision permet de comprendre qu'il s'agit d'un rejet au fond – comme l'a du reste confirmé le premier juge dans son courrier du 16 mai 2019 – et non d'une irrecevabilité motivée par un éventuel défaut de compétence. En effet, le premier juge a exposé, dans la décision querellée, les motifs de fond justifiant, selon lui, le refus de "réserver une suite favorable" à la requête du 15 avril 2019. A l'aune du droit d'être entendu, la motivation de la décision querellée est suffisamment claire pour exclure la violation invoquée par l'appelant. Par conséquent, il n'y a pas lieu de retenir que le droit d'être entendu de l'appelant aurait été violé, l'appel étant, sur ce point, rejeté.</w:t>
      </w:r>
    </w:p>
    <w:p>
      <w:r>
        <w:rPr>
          <w:b/>
        </w:rPr>
        <w:t>E. 3</w:t>
      </w:r>
    </w:p>
    <w:p>
      <w:r>
        <w:t>L'appelant reproche au premier juge son appréciation selon laquelle l'apposition d'un "n'empêche" n'était pas justifiée. Il expose que les parties à la convention ont soumis la validité de celle-ci à son approbation par la Justice de paix et qu'elle porte sur un actif important de la succession. Il se réfère également à la décision de la même autorité du 22 mars 2018 selon laquelle durant le bénéfice d'inventaire, la réalisation d'un bien successoral ne peut intervenir qu'exceptionnellement, raison pour laquelle dite autorité lui avait déjà refusé la vente d'un bien de la succession.</w:t>
      </w:r>
    </w:p>
    <w:p>
      <w:r>
        <w:rPr>
          <w:b/>
        </w:rPr>
        <w:t>E. 3.1.1</w:t>
      </w:r>
    </w:p>
    <w:p>
      <w:r>
        <w:t>Selon l'art. 518 CC, si le disposant n'en a ordonné autrement, les exécuteurs testamentaires ont les droits et les devoirs de l'administrateur officiel d'une</w:t>
      </w:r>
    </w:p>
    <w:p>
      <w:r>
        <w:t>- 6/8 -</w:t>
      </w:r>
    </w:p>
    <w:p>
      <w:r>
        <w:t>C/1608/2017 succession (al. 1). Ils sont chargés de faire respecter la volonté du défunt, notamment de gérer la succession, de payer les dettes, d'acquitter les legs et de procéder au partage conformément aux ordres du disposant ou suivant la loi (al. 2). L'exécuteur testamentaire a le pouvoir de disposer des biens successoraux dans toute la mesure nécessaire pour accomplir sa mission légale (ATF 101 II 47 consid. 2). A teneur de l'art. 585 CC, ne seront faits, pendant l'inventaire, que les actes nécessaires d'administration (al. 1). Pendant l'inventaire officiel, les pouvoirs de l'exécuteur testamentaire sont limités aux actes de simple administration et celui- ci doit s'abstenir de tout acte de disposition (KARRER/VOGT/LEU, Basler Kommentar, ZGB II, 2015, n. 20 ad art. 518 CC; GAIST, La communauté héréditaire: sa composition, ses biens et ses dettes en droit suisse, 2015, p. 236; SCHULER-BUCHE, L'exécuteur testamentaire, l'administrateur officiel et le liquidateur officiel : étude et comparaison, 2003, p. 62). Seule l'administration conservatoire est admise, soit les actes qui permettent de maintenir la substance ou la valeur de la succession, et tout acte qui ne revêt pas un caractère nécessaire doit être différé (RUBIDO, Commentaire romand du CC II, 2016, n. 1 et 3 ad art. 585 CC). Le pouvoir d'administrer doit être interprété restrictivement. Il ne peut pas aller au-delà de l'interdiction de l'immixtion (art. 571 al. 2 CC; RUBIDO, ibidem). Selon l'art. 571 al. 2 CC est déchu de la faculté de répudier l'héritier qui, avant l'expiration du délai, s'immisce dans les affaires de la succession, fait des actes autres que les actes nécessités par la simple administration et la continuation de ces affaires, divertit ou recèle des biens de la succession.</w:t>
      </w:r>
    </w:p>
    <w:p>
      <w:r>
        <w:rPr>
          <w:b/>
        </w:rPr>
        <w:t>E. 3.1.2</w:t>
      </w:r>
    </w:p>
    <w:p>
      <w:r>
        <w:t>Selon l'art. 595 al. 3 CC, applicable à l'exécuteur testamentaire par renvoi de l'art. 518 al. 1 CC, l'administrateur est placé sous le contrôle de l'autorité et les héritiers peuvent recourir à celle-ci contre les mesures projetées ou prises par lui. Le pouvoir de cognition de l'autorité de surveillance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5P_166/2004 du 24 juin 2004 consid. 2.2 ; STEINAUER, Le droit des successions, 2015, n. 1185c). L'autorité de surveillance ne procède ainsi pas à un examen de la justesse des décisions de l'exécuteur testamentaire (DAS/12/2017 consid. 2.2.1).</w:t>
      </w:r>
    </w:p>
    <w:p>
      <w:r>
        <w:rPr>
          <w:b/>
        </w:rPr>
        <w:t>E. 3.2</w:t>
      </w:r>
    </w:p>
    <w:p>
      <w:r>
        <w:t>En l'espèce, l'inventaire établi le 15 avril 2019 par C______, notaire, en est toujours au stade de projet et certains actifs, en particulier les participations de l'hoirie dans la société K______ SA, n'ont pas encore été estimés. Au regard de l'art. 585 CC, l'absence d'inventaire définitif constitue un élément déterminant dans l'appréciation de l'étendue des pouvoirs de l'exécuteur testamentaire.</w:t>
      </w:r>
    </w:p>
    <w:p>
      <w:r>
        <w:t>- 7/8 -</w:t>
      </w:r>
    </w:p>
    <w:p>
      <w:r>
        <w:t>C/1608/2017 Dans sa décision du 22 mars 2018, le premier juge avait dès lors correctement constaté que la succession était soumise à la procédure de bénéfice d'inventaire, raison pour laquelle il avait interdit à l'exécuteur testamentaire d'accomplir un acte de disposition, à l'enjeu financier moindre (soit 120'000 fr. pour la vente d'un box sis à H______) que dans le cadre de la présente procédure. En revanche, dans la décision querellée, le premier juge a omis de tenir compte de ce que la procédure de bénéfice d'inventaire était encore pendante, ce qui l'a amené à considérer que les pouvoirs de l'exécuteur testamentaire n'étaient pas limités. Compte tenu du fait que la procédure de bénéfice d'inventaire est toujours pendante, la conclusion du contrat du 8 avril 2019 se heurte à l'étendue des pouvoirs de l'exécuteur testamentaire, lesquels sont restreints aux seuls actes d'administration. Dans ce contexte, à défaut d'urgence susceptible de mettre en péril la substance de la succession, il n'appartenait pas à l'appelant de conclure de son propre chef le contrat de vente concerné – indépendamment de son caractère profitable ou non à l'hoirie – durant la période d'inventaire, étant rappelé que trois membres de l'hoirie ne se sont pas encore déterminés sur leur participation à la succession. Or en l'espèce, l'appelant n'a pas allégué – et encore moins établi – que l'exécution de la convention du 8 avril 2019 serait justifiée par une situation qui ne pourrait être reportée postérieurement à la clôture de l'inventaire, à laquelle il s'agira de procéder dans un délai raisonnable. Par conséquent, il doit être constaté que les actes envisagés dans la convention précitée par l'appelant ne sont, compte tenu du stade de la procédure, pas appropriés, car prématurés. Dans ce contexte, il convient dès lors de confirmer la décision du 6 mai 2019, par substitution de motifs (art. 318 al. 1 let. b CPC).</w:t>
      </w:r>
    </w:p>
    <w:p>
      <w:r>
        <w:rPr>
          <w:b/>
        </w:rPr>
        <w:t>E. 4</w:t>
      </w:r>
    </w:p>
    <w:p>
      <w:r>
        <w:t>Les frais judiciaires, arrêtés à 500 fr. (art. 26 et 35 RTFMC), sont mis à la charge de l'appelant, qui succombe (art. 106 al. 1 CPC). Ce montant est entièrement compensé par l'avance de frais du même montant fournie par celui-ci, qui reste acquise à l'Etat (art. 111 al. 1 CPC). Il n'est pas alloué de dépens. * * * * *</w:t>
      </w:r>
    </w:p>
    <w:p>
      <w:r>
        <w:t>- 8/8 -</w:t>
      </w:r>
    </w:p>
    <w:p>
      <w:r>
        <w:t>C/1608/2017 PAR CES MOTIFS, La Chambre civile : A la forme : Déclare recevable l'appel formé le 20 mai 2019 par A______ contre la décision DJP/252/2019 rendue le 6 mai 2019 par la Justice de paix dans la cause C/1608/2017. Au fond : Le rejette. Sur les frais : Arrête les frais de l'appel à 500 fr., les met à la charge de A______ et les compense en totalité avec l'avance de frais versée par celui-ci, qui reste acquise à l'Etat de Genève. Dit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