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DAS/167/2014 vom 7. Juli 2014</w:t>
      </w:r>
    </w:p>
    <w:p>
      <w:r>
        <w:t>GE Cour de justice, 2014-07-07, FR</w:t>
      </w:r>
    </w:p>
    <w:p>
      <w:r>
        <w:rPr>
          <w:b/>
        </w:rPr>
        <w:t xml:space="preserve">Quelle: </w:t>
      </w:r>
      <w:r>
        <w:t>https://mcp.opencaselaw.ch/entscheid/ge_gerichte_DAS_167_2014</w:t>
      </w:r>
    </w:p>
    <w:p>
      <w:r>
        <w:t>FR: GE_GERICHTE DAS/167/2014 du 7 juillet 2014</w:t>
      </w:r>
    </w:p>
    <w:p>
      <w:r>
        <w:t>IT: GE_GERICHTE DAS/167/2014 del 7 luglio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Ont qualité pour recourir les personnes parties à la procédure et les proches (art. 450 al. 2 ch. 1 CC). Le recours doit être dûment motivé et interjeté par écrit auprès du juge (art. 450 al. 3 CC). Dans le cas d'espèce, le recours formé par la personne concernée, dans le délai et les formes prescrits par la loi, est recevable.</w:t>
      </w:r>
    </w:p>
    <w:p>
      <w:r>
        <w:rPr>
          <w:b/>
        </w:rPr>
        <w:t>E. 1.2</w:t>
      </w:r>
    </w:p>
    <w:p>
      <w:r>
        <w:t>La Chambre de surveillance examine la cause librement, en fait, en droit et sous l'angle de l'opportunité (art. 450a CC).</w:t>
      </w:r>
    </w:p>
    <w:p>
      <w:r>
        <w:rPr>
          <w:b/>
        </w:rPr>
        <w:t>E. 2.1</w:t>
      </w:r>
    </w:p>
    <w:p>
      <w:r>
        <w:t>Les mesures 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rPr>
          <w:b/>
        </w:rPr>
        <w:t>E. 2.2</w:t>
      </w:r>
    </w:p>
    <w:p>
      <w:r>
        <w:t>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w:t>
      </w:r>
    </w:p>
    <w:p>
      <w:r>
        <w:t>- 9/11 -</w:t>
      </w:r>
    </w:p>
    <w:p>
      <w:r>
        <w:t>C/20657/2013-CS Introduction au nouveau droit de la protection de l'adulte, p. 231, notes 508 et 510). 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Cette mesure pourrait également être prononcée en cas de situation extrêmement évolutive : la personne ne souffre pas nécessairement d'une incapacité durable, mais d'une incapacité récurrente, avec des intervalles de lucidité dans lesquels elle agit contre ses intérêts, ou risque de le faire avec une vraisemblance suffisante. Dans tous les cas, la proportionnalité de la mesure doit être jugée à l'aune de son effet principal : la privation de la capacité civile active. En effet, s'agissant de la globalité de l'assistance (personnelle et/ou patrimoniale), elle peut être assurée par une curatelle de représentation/gestion éventuellement combinée avec une curatelle d'accompagnement et une curatelle de coopération.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 ss).</w:t>
      </w:r>
    </w:p>
    <w:p>
      <w:r>
        <w:rPr>
          <w:b/>
        </w:rPr>
        <w:t>E. 2.3</w:t>
      </w:r>
    </w:p>
    <w:p>
      <w:r>
        <w:t>Dans le cas d'espèce, les renseignements médicaux concernant A______ contenus dans le dossier ressortent du certificat médical établi par le Dr G______ le 23 octobre 2013 et de l'audition de la Dresse L______ par le Tribunal de protection le 14 avril 2014. En octobre 2013, la recourante présentait un processus dégénératif d'étiologie mixte, en phase initiale, l'auteur du certificat médical n'ayant pas été en mesure de déterminer l'évolution de ce processus. En octobre 2013, A______ était partiellement empêchée d'assurer elle-même la sauvegarde de ses intérêts, elle reconnaissait toutefois ses difficultés et acceptait de recevoir une aide. Elle paraissait apte à désigner un mandataire et à en contrôler l'activité. En avril 2014, soit quelques mois plus tard seulement et selon les constatations de la Dresse L______, les troubles cognitifs diagnostiqués précédemment persistaient et devaient désormais être qualifiés d'altération sévère de la mémoire épisodique. A______ était, toujours selon la Dresse L______, incapable de discernement s'agissant des questions relatives à sa santé ainsi qu'à son lieu de vie, elle ne comprenait pas les raisons de son hospitalisation, niait ses troubles et refusait l'aide qui lui était apportée.</w:t>
      </w:r>
    </w:p>
    <w:p>
      <w:r>
        <w:t>- 10/11 -</w:t>
      </w:r>
    </w:p>
    <w:p>
      <w:r>
        <w:t>C/20657/2013-CS Il ressort par conséquent de ces deux avis médicaux que la recourante est affectée de troubles cognitifs importants et, vu son âge, selon toute vraisemblance durables, lesquels se sont aggravés en l'espace de quelques mois. Compte tenu de ces éléments, le Tribunal de protection, qui comprenait dans sa composition un juge assesseur psychiatre (art. 104 al. 1 LOJ), pouvait retenir, sans avoir besoin de requérir une expertise et après avoir entendu A______, que celle- ci est durablement incapable de discernement. Il est également établi au vu du dossier que les troubles qui affectent la recourante l'empêchent de gérer ses affaires, la rendent vulnérable, et que l'absence de coopération qu'elle manifeste de manière récurrente rend difficile, voire impossible, la tâche des personnes mandatées pour lui apporter l'aide nécessaire sur le plan des soins et de sa vie quotidienne. La recourante a ainsi un besoin général d'assistance personnelle et patrimoniale. Actuellement, elle séjourne certes dans un EMS, de sorte qu'elle y reçoit les soins nécessités par son état, mais dans la mesure où elle a, à plusieurs reprises, exprimé son opposition à intégrer une telle institution, il n'est pas certain que son placement au sein de la N______ soit durable. Au vu de ce qui précède, c'est à juste titre que le Tribunal de protection a prononcé une curatelle de portée générale, cette mesure étant la mieux à même d'assurer à la recourante la protection globale dont elle a besoin, et les conditions de l'art. 398 al. 1 CC étant réunies. Le recours, infondé, sera rejeté.</w:t>
      </w:r>
    </w:p>
    <w:p>
      <w:r>
        <w:rPr>
          <w:b/>
        </w:rPr>
        <w:t>E. 3</w:t>
      </w:r>
    </w:p>
    <w:p>
      <w:r>
        <w:t>La Chambre de surveillance n'entrera pas en matière sur les conclusions contenues dans le courrier de la curatrice du 18 août 2014 concernant la vente de la maison dont la recourante est propriétaire et la représentation thérapeutique, ces questions n'ayant pas été traitées dans la décision litigieuse.</w:t>
      </w:r>
    </w:p>
    <w:p>
      <w:r>
        <w:rPr>
          <w:b/>
        </w:rPr>
        <w:t>E. 4</w:t>
      </w:r>
    </w:p>
    <w:p>
      <w:r>
        <w:t>Vu l'issue du recours, les frais de la procédure de recours, arrêtés à 300 fr., seront mis à la charge de la recourante et compensés avec l'avance de frais de même montant, qui reste acquise à l'Etat. * * * * *</w:t>
      </w:r>
    </w:p>
    <w:p>
      <w:r>
        <w:t>- 11/11 -</w:t>
      </w:r>
    </w:p>
    <w:p>
      <w:r>
        <w:t>C/20657/2013-CS PAR CES MOTIFS, La Chambre de surveillance : A la forme : Déclare recevable le recours interjeté par A______ contre l'ordonnance DTAE/3100/2014 rendue le 26 mai 2014 par le Tribunal de protection de l'adulte et de l'enfant dans la cause C/20657/2013-3. Au fond : Rejette le recours. Sur les frais : Arrête les frais de recours à 300 fr., les met à la charge de A______ et les compense avec l'avance versée, qui reste acquise à l'Etat de Genève. Déboute les parties de toutes autres conclusions.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