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DAS/162/2023 vom 5. Juli 2023</w:t>
      </w:r>
    </w:p>
    <w:p>
      <w:r>
        <w:t>GE Cour de justice, 2023-07-05, FR</w:t>
      </w:r>
    </w:p>
    <w:p>
      <w:r>
        <w:rPr>
          <w:b/>
        </w:rPr>
        <w:t xml:space="preserve">Quelle: </w:t>
      </w:r>
      <w:r>
        <w:t>https://mcp.opencaselaw.ch/entscheid/ge_gerichte_DAS_162_2023</w:t>
      </w:r>
    </w:p>
    <w:p>
      <w:r>
        <w:t>FR: GE_GERICHTE DAS/162/2023 du 5 juillet 2023</w:t>
      </w:r>
    </w:p>
    <w:p>
      <w:r>
        <w:t>IT: GE_GERICHTE DAS/162/2023 del 5 luglio 2023</w:t>
      </w:r>
    </w:p>
    <w:p>
      <w:pPr>
        <w:pStyle w:val="Heading2"/>
      </w:pPr>
      <w:r>
        <w:t>Erwägungen</w:t>
      </w:r>
    </w:p>
    <w:p>
      <w:r>
        <w:rPr>
          <w:b/>
        </w:rPr>
        <w:t>E. 1</w:t>
      </w:r>
    </w:p>
    <w:p>
      <w:r>
        <w:t>1.1.1 Les décisions de l'autorité de protection de l'adulte peuvent faire l'objet d'un recours écrit et motivé, devant le juge compétent, à savoir à Genève la Chambre de surveillance de la Cour de justice (art. 450 al. 1 et 3 CC; art. 53 al. 1 et 2 LaCC). Le délai de recours est de trente jours à compter de la notification de la décision. Ce délai s'applique également aux personnes ayant qualité pour recourir auxquelles la décision ne doit pas être notifiée (art. 450b al. 1 CC). 1.1.2 Ont qualité pour recourir les personnes parties à la procédure, les proches de la personne concernée et les personnes qui ont un intérêt juridique</w:t>
      </w:r>
    </w:p>
    <w:p>
      <w:r>
        <w:t>- 6/11 -</w:t>
      </w:r>
    </w:p>
    <w:p>
      <w:r>
        <w:t>C/9075/2022-CS à l'annulation ou à la modification de la décision attaquée (art. 450 al. 2 ch. 1 à 3 CC). Selon la doctrine et la jurisprudence, le proche est une personne qui connaît bien la personne concernée et qui, grâce à ses qualités et, le plus souvent, grâce à ses rapports réguliers avec celle-ci, paraît apte à en défendre les intérêts. Peuvent être des proches les parents, les enfants, d’autres personnes étroitement liées par parenté ou amitié à la personne concernée, le partenaire, mais également le curateur, le médecin, l’assistant social, le prêtre ou le pasteur, ou une autre personne qui a pris soin et s’est occupée de la personne concernée (Message du 28 juin 2006 concernant la révision du code civil suisse [Protection de l'adulte, droit des personnes et droit de la filiation], FF 2006 6635, p. 6716). 1.1.3 Toute personne capable d'ester en justice peut se faire représenter au procès (art. 68 al. 1 CPC). Le représentant doit justifier de ses pouvoirs par une procuration (art. 68 al. 3 CPC).</w:t>
      </w:r>
    </w:p>
    <w:p>
      <w:r>
        <w:rPr>
          <w:b/>
        </w:rPr>
        <w:t>E. 1.2</w:t>
      </w:r>
    </w:p>
    <w:p>
      <w:r>
        <w:t>En l’espèce, compte tenu de la formulation utilisée par A______ (« je recours »), il y a lieu de retenir qu’il n’a pas formé recours en tant que représentant de B______, mais à titre personnel, bien qu’il ait produit la photocopie d’une procuration signée par ce dernier. Ladite procuration, si elle autorise A______ à régler les affaires concernant B______ et à le représenter auprès de toutes les instances officielles, ne mentionne toutefois pas la volonté du signataire de former recours contre la décision du 14 février 2023 rendue par le Tribunal de protection. Dès lors, la formulation de la procuration est trop vague pour qu’on puisse considérer que B______ a expressément donné mandat à A______ de former recours contre la décision litigieuse, en qualité de représentant au sens de l’art. 68 al. 1 CPC. Il y a toutefois lieu d’admettre la recevabilité du recours formé à titre personnel par A______, qui remplit la condition de « proche » au sens de l’art. 450 al. 2 ch. 2 CC, dans la mesure où il ressort de la procédure qu’il s’occupe, depuis de nombreuses années, de toutes les affaires administratives et financières de B______, en accord avec les enfants de ce dernier. Pour le surplus, le recours a été formé dans le délai utile et selon les formes prescrites, de sorte qu’il est recevable.</w:t>
      </w:r>
    </w:p>
    <w:p>
      <w:r>
        <w:rPr>
          <w:b/>
        </w:rPr>
        <w:t>E. 1.3</w:t>
      </w:r>
    </w:p>
    <w:p>
      <w:r>
        <w:t>La Chambre de céans établit les faits et applique le droit d'office, et n'est pas liée par les conclusions des parties (art. 446 CC).</w:t>
      </w:r>
    </w:p>
    <w:p>
      <w:r>
        <w:rPr>
          <w:b/>
        </w:rPr>
        <w:t>E. 2</w:t>
      </w:r>
    </w:p>
    <w:p>
      <w:r>
        <w:t>Le recourant a conclu à l’octroi, en faveur de B______, d’une indemnité pour tort moral.</w:t>
      </w:r>
    </w:p>
    <w:p>
      <w:r>
        <w:t>- 7/11 -</w:t>
      </w:r>
    </w:p>
    <w:p>
      <w:r>
        <w:t>C/9075/2022-CS La question de savoir si le recourant a été formellement autorisé par l’intéressé à prendre une telle conclusion peut demeurer indécise, dans la mesure où la Chambre de surveillance de la Cour de justice, instance de recours des décisions du Tribunal de protection, n’est pas compétente pour statuer sur l’octroi d’une indemnité pour tort moral fondée sur la responsabilité de l’Etat de Genève. Le recourant sera dès lors débouté de cette conclusion et invité à mieux agir, s’il s’y estime fondé.</w:t>
      </w:r>
    </w:p>
    <w:p>
      <w:r>
        <w:rPr>
          <w:b/>
        </w:rPr>
        <w:t>E. 3</w:t>
      </w:r>
    </w:p>
    <w:p>
      <w:r>
        <w:t>3.1.1 Toute personne a le droit d’aviser l’autorité de protection de l’adulte qu’une personne semble avoir besoin d’aide. Les dispositions sur le secret professionnel sont réservées (art. 443 al. 1 CC).</w:t>
      </w:r>
    </w:p>
    <w:p>
      <w:r>
        <w:t>L’autorité de protection de l’adulte établit les faits d’office (art. 446 al. 1 CC). 3.1.2 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 En cas d’urgence particulière, elle peut prendre des mesures provisionnelles sans entendre les personnes parties à la procédure (art. 445 al. 2 CC). Si nécessaire, l’autorité de protection de l’adulte ordonne la représentation de la personne concernée dans la procédure et désigne curateur une personne expérimentée en matière d’assistance et dans le domaine juridique (art. 449a CC). Un curateur nommé pour la procédure doit en principe être désigné lorsque la personne concernée n’est pas en mesure de défendre elle-même ses intérêts et de désigner un représentant. La nomination a lieu soit sur demande, soit d’office. La représentation ne doit pas nécessairement être assurée par un avocat; il est seulement exigé, comme à l’art. 147 CC, que «la personne dispose d’expérience en matière d’assistance et dans le domaine juridique». La présente disposition vaut en principe pour toute la procédure, y compris la procédure de recours (Message FF 2006 6635, p. 6713-6714). 3.1.3 Conformément à l'art. 404 al. 1 CC, le curateur a droit à une rémunération appropriée et au remboursement des frais justifiés. L'autorité de protection fixe la rémunération, en tenant compte en particulier de l'étendue et de la complexité des tâches confiées au curateur (art. 404 al. 1, 1ère phr., et al. 2 CC; REUSSER, Basler Kommentar Zivilgesetzbuch I, 2014, n. 7 ad art. 404 CC). Le Règlement fixant la rémunération des curateurs (RRC) du 27 février 2013 (E 1 05.15) distingue les curateurs privés non professionnels (soit des proches</w:t>
      </w:r>
    </w:p>
    <w:p>
      <w:r>
        <w:t>- 8/11 -</w:t>
      </w:r>
    </w:p>
    <w:p>
      <w:r>
        <w:t>C/9075/2022-CS de la personne protégée ou une personne désignée par celle-ci) (art. 2 al. 1 let. a RRC), des curateurs privés professionnels (soit des personnes disposant des compétences requises pour exercer une mesure de protection à titre professionnel en dehors d’un service de l’administration cantonale) (art. 2 al. 1 let. b RRC). S’agissant des curateurs privés professionnels, leur rémunération est prélevée sur les biens de la personne concernée (art. 9 al. 1 RRC). La rémunération des curateurs privés professionnels est fixée selon le tarif horaire figurant à l’art. 9 al. 2 RRC, lequel prévoit, pour un avocat stagiaire, un tarif de 120 fr., tant pour la gestion courante que pour l’activité juridique. La rémunération est appréciée et définitivement arrêtée par le tribunal sur la base d’un décompte détaillé, qui précise la nature de l’activité déployée et le temps consacré (art. 9 al. 4 RRC). Lorsqu’il existe un motif s’opposant à ce qu’une personne protégée se voie désigner un curateur officiel, alors que les conditions de l’art. 2 al. 2 sont réunies, le tribunal peut lui désigner un curateur privé professionnel et mettre à la charge de l’Etat de Genève la rémunération de celui-ci (art. 10 al. 1 RRC). Pour les avocats et les avocats stagiaires désignés curateurs de représentation dans des procédures civiles, pénales ou en protection de l’adulte et de l’enfant, le tribunal applique le tarif horaire du règlement sur l’assistance juridique et l’indemnisation des conseils juridiques et défenseurs d’office en matière civile, administrative et pénale, du 28 juillet 2010 (RAJ – E 2 05.04) (art. 10 al. 4 RRC). Ledit règlement prévoit, pour les avocats stagiaires, une rémunération de 110 fr. de l’heure (art. 16 al. 1 let. a RAJ). 3.2.1 En l’espèce, le recourant ne formule aucun grief à l’encontre des honoraires alloués à C______, lesquels sont conformes au tarif applicable; le nombre d’heures pris en considération est pour le surplus en adéquation avec l’activité déployée, telle que décrite dans le time-sheet produit et telle qu’elle ressort du dossier. 3.2.2 La seule question litigieuse concerne la mise desdits honoraires à la charge de B______. Le RRC prévoit expressément, à son art. 9 al. 1, que la rémunération du curateur privé professionnel est prélevée sur les biens de la personne concernée, de sorte que la décision litigieuse est conforme au droit.</w:t>
      </w:r>
    </w:p>
    <w:p>
      <w:r>
        <w:t>- 9/11 -</w:t>
      </w:r>
    </w:p>
    <w:p>
      <w:r>
        <w:t>C/9075/2022-CS Les circonstances particulières du cas d’espèce justifient toutefois qu’il soit dérogé à la règle de l’art. 9 al. 1 RRC. Le Tribunal de protection a ouvert une procédure dans l’intérêt de B______ sur la base du courrier d’un médecin des HUG, lequel décrivait une situation médicale et sociale compliquée. A réception de ce signalement, le Tribunal de protection a sollicité des renseignements financiers concernant l’intéressé, ainsi qu’un certificat médical plus détaillé, puis a immédiatement institué une mesure de curatelle sur mesures superprovisionnelles et a désigné F______ tout d’abord, puis C______, tous deux avocats stagiaires, en qualité de curateurs d’office, avec mandat de représenter la personne concernée dans la procédure pendante devant le même Tribunal de protection. Il s’est toutefois avéré, après une instruction plus complète des faits, que la situation sociale de B______ n'était pas périlleuse, puisque A______ s’occupait régulièrement et de longue date de ses affaires administratives et financières et qu’une mesure de curatelle portant sur les aspects médicaux ne se justifiait pas, ce qui a permis la levée de la mesure de curatelle prononcée à titre superprovisionnel. Or, il ressort des registres de l’Office cantonal de la population et des migrations, auxquels le Tribunal de protection a accès, que B______ a deux fils, domiciliés à Genève et donc a priori facilement atteignables. Le Tribunal de protection aurait dès lors pu, en même temps qu’il sollicitait des informations sur la situation financière de B______, interpeller ses deux fils, ce qui aurait permis de déterminer si quelqu’un s’occupait déjà de ses affaires administratives et financières. Une telle démarche aurait vraisemblablement permis de constater qu’aucune mesure de protection ne se justifiait et d’éviter le prononcé d’une mesure de curatelle non nécessaire, ainsi que la désignation d’une curatrice d’office. Il ressort en outre de la procédure que la situation financière de B______ est modeste, puisqu’il ne perçoit, outre sa rente AVS, qu’une faible rente LPP, complétée par des prestations complémentaires, ce qui permet de retenir qu’il ne dispose d’aucune fortune. Il est dès lors établi qu’un montant supérieur à 1'300 fr. représente, pour l’intéressé, une somme importante, dont il paraît peu probable qu’il puisse s’acquitter. Le Tribunal de protection a considéré que B______ avait besoin d’être assisté d’un curateur d’office dans le cadre de la procédure. Il n’avait dès lors d’autre choix que de désigner un avocat ou un avocat stagiaire, des connaissances juridiques étant nécessaires à l’accomplissement de la tâche confiée. Il ne pouvait dès lors confier le mandat à un curateur officiel, même si la situation financière de B______ ne lui permettait pas d’assumer le coût d’un curateur d’office. Dès lors et par analogie avec le cas de figure prévu à l’art. 10 al. 1</w:t>
      </w:r>
    </w:p>
    <w:p>
      <w:r>
        <w:t>- 10/11 -</w:t>
      </w:r>
    </w:p>
    <w:p>
      <w:r>
        <w:t>C/9075/2022-CS RRC, il y a lieu de mettre les honoraires de la curatrice à la charge de l’Etat de Genève. Au vu de ce qui précède, la décision attaquée sera annulée en tant qu’elle a mis les honoraires de la curatrice d’office à la charge de B______; lesdits honoraires seront supportés par l’Etat.</w:t>
      </w:r>
    </w:p>
    <w:p>
      <w:r>
        <w:rPr>
          <w:b/>
        </w:rPr>
        <w:t>E. 4</w:t>
      </w:r>
    </w:p>
    <w:p>
      <w:r>
        <w:t>Compte tenu de l’issue de la procédure, les frais du recours, arrêtés à 400 fr. (art. 67A et 67B RTFMC), seront laissés à la charge de l’Etat de Genève. L’avance de frais de même montant versée par B______ lui sera restituée. * * * * *</w:t>
      </w:r>
    </w:p>
    <w:p>
      <w:r>
        <w:t>- 11/11 -</w:t>
      </w:r>
    </w:p>
    <w:p>
      <w:r>
        <w:t>C/9075/2022-CS PAR CES MOTIFS, La Chambre de surveillance : A la forme : Déclare recevable le recours formé par A______ contre la décision DTAE/1154/2023 rendue le 14 février 2023 par le Tribunal de protection de l’adulte et de l’enfant dans la cause C/9075/2022. Au fond : Annule la décision attaquée en tant qu’elle a mis les honoraires de la curatrice d’office à la charge de B______. Cela fait et statuant à nouveau sur ce point : Met les honoraires de la curatrice d’office, en 1'329 fr. 20, à la charge de l’Etat de Genève. Invite en conséquence les Services financiers du Pouvoir judiciaire à verser à C______ la somme de 1'329 fr. 20. Déboute le recourant de toutes autres conclusions. Sur les frais : Arrête les frais de la procédure de recours à 400 fr. et les laisse à la charge de l’Etat de Genève. Invite en conséquence les Services financiers du Pouvoir judiciaire à restituer la somme de 400 fr. à B______, qui en a fait l’avance.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