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DAS/15/2025 vom 7. November 2024</w:t>
      </w:r>
    </w:p>
    <w:p>
      <w:r>
        <w:t>GE Cour de justice, 2024-11-07, FR</w:t>
      </w:r>
    </w:p>
    <w:p>
      <w:r>
        <w:rPr>
          <w:b/>
        </w:rPr>
        <w:t xml:space="preserve">Quelle: </w:t>
      </w:r>
      <w:r>
        <w:t>https://mcp.opencaselaw.ch/entscheid/ge_gerichte_DAS_15_2025</w:t>
      </w:r>
    </w:p>
    <w:p>
      <w:r>
        <w:t>FR: GE_GERICHTE DAS/15/2025 du 7 novembre 2024</w:t>
      </w:r>
    </w:p>
    <w:p>
      <w:r>
        <w:t>IT: GE_GERICHTE DAS/15/2025 del 7 novembre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rendues à titre provisionnel peuvent faire l'objet d'un recours auprès de la Chambre de surveillance de la Cour de justice dans un délai de dix jours à compter de leur notification (art. 445 al. 3 CC ; art. 53 al. 1 et 2 LaCC).</w:t>
      </w:r>
    </w:p>
    <w:p>
      <w:r>
        <w:rPr>
          <w:b/>
        </w:rPr>
        <w:t>E. 1.2</w:t>
      </w:r>
    </w:p>
    <w:p>
      <w:r>
        <w:t>En l'espèce, le recours a été formé dans le délai utile, par une partie à la procédure et selon les formes prescrites. Il est donc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fait grief au Tribunal de protection d'avoir violé la loi et le principe de proportionnalité en rendant une décision sur la base d'un événement unique et en lui retirant la garde des mineurs, leur développement n'étant pas en danger auprès de lui.</w:t>
      </w:r>
    </w:p>
    <w:p>
      <w:r>
        <w:t>Il s'agit tout d'abord de constater que, vu l'accession à la majorité de l'enfant E______ en cours de procédure, celle-ci ne porte plus que sur les droits parentaux et les relations personnelles relatifs à l'enfant F______. Par conséquent, en tant qu'il concerne l'enfant E______, le recours est sans objet. 2.1.1 L'enfant est soumis, pendant sa minorité, à l'autorité parentale conjointe (art. 296 al. 2 CC). A la requête de l'un des parents ou de l'enfant ou encore d'office, l'autorité de protection de l'enfant modifie l'attribution de l'autorité parentale lorsque des faits nouveaux importants le commandent pour le bien de l'enfant (art. 298d al. 1 CC). Selon l'al. 2 de cette disposition, elle peut aussi se</w:t>
      </w:r>
    </w:p>
    <w:p>
      <w:r>
        <w:t>- 7/10 -</w:t>
      </w:r>
    </w:p>
    <w:p>
      <w:r>
        <w:t>C/13535/2023-CS limiter à statuer sur la garde de l'enfant, les relations personnelles ou la participation de chaque parent à sa prise en charge. Toute modification dans l'attribution de la garde suppose que la nouvelle réglementation soit requise dans l'intérêt de l'enfant en raison de la survenance de faits nouveaux essentiels et qu'elle s'impose pour le bien de l'enfant (notamment, DAS/1/2020 consid. 2.1; arrêt du Tribunal fédéral 5A_756/2019 c. 3.1.1). En d'autres termes, une nouvelle réglementation de l'autorité parentale, respectivement de la garde, ne dépend pas seulement de l'existence de circonstances nouvelles importantes; elle doit être aussi commandée par le bien de l'enfant.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(arrêts du Tribunal fédéral 5A_781/2015 c. 3.2.2 et 5A_428/2014 c. 6.2; AFFOLTER-FRINGELI, Berner Kommentar, 2016, ad art. 298d n. 6). 2.1.2 Lorsqu'elle ne peut éviter autrement que le développement d'un mineur ne soit compromis, l'autorité de protection de l'enfant retire ce dernier au père et mère et le place de façon appropriée (art. 310 al. 1 CC). Le droit de garde passe ainsi à l'autorité de protection qui détermine alors le lieu de résidence du mineur et choisit son encadrement (arrêt du Tribunal fédéral 5A_335/2020 c.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c. 4.1). A l'instar de toutes mesures de protection de l'enfant, le retrait du droit de garde, composante de l'autorité parentale (ATF 128 III 9 c. 4a) est régi par les principes de subsidiarité, de complémentarité et de proportionnalité (arrêt du Tribunal fédéral 5A_858/2008 c. 4.2). 2.1.3 Selon l'art. 445 al. 1 CC, l'autorité de protection prend d'office ou à la demande d'une partie à la procédure, toutes les mesures provisionnelles nécessaires pendant la durée de la procédure. Elle peut notamment ordonner une mesure de protection à titre provisoire. En cas d'urgence particulière, elle peut prendre des mesures provisionnelles sans entendre les personnes parties à la procédure (…) (al. 2).</w:t>
      </w:r>
    </w:p>
    <w:p>
      <w:r>
        <w:t>- 8/10 -</w:t>
      </w:r>
    </w:p>
    <w:p>
      <w:r>
        <w:t>C/13535/2023-CS</w:t>
      </w:r>
    </w:p>
    <w:p>
      <w:r>
        <w:rPr>
          <w:b/>
        </w:rPr>
        <w:t>E. 2.2</w:t>
      </w:r>
    </w:p>
    <w:p>
      <w:r>
        <w:t>En l'espèce, le Tribunal de protection, suivant l'avis du SPMi, notamment, a considéré que le développement de l'enfant F______ était mis en danger lors de la prise en charge par le recourant. Dès lors, il a attribué à la mère, sur mesure provisionnelle, suite à ratification d'une clause-péril, la garde exclusive de celle-ci en limitant drastiquement le droit de visite du recourant. Les circonstances qui ont conduit au prononcé de la clause-péril par le SPMi et à sa ratification par le Tribunal de protection nécessitaient la prise de mesures d'urgence de protection de l'enfant telles que celles qui ont été prononcées. En effet, l'état d'agitation du père et son agressivité constatée par tous, et notamment par la pédiatre de l'enfant, au moment des événements relatés et son absence de volonté de mettre l'enfant à l'abri de cet état, constituaient indéniablement un danger pour l'enfant. Se pose cependant la question de savoir si lesdites circonstances étaient suffisantes pour le prononcé des mesures provisionnelles contestées, après instruction, ce que le recourant conteste. Il faut relever avec le recourant que le Tribunal de protection a essentiellement fondé sa décision sur mesures provisionnelles sur les suites et conséquences de l'épisode au cours duquel, en présence de l'enfant F______, le recourant a été victime d'une agression, évoquant pour le surplus en quelques mots un climat antérieur de violence à domicile. La réaction du recourant suite à son agression n'a pas été adéquate à l'égard de l'enfant. On ignore toutefois si l'enfant a été mise en danger, ainsi que son état de traumatisme éventuel suite à ces faits, à défaut d'un bilan médical postérieur de celle-ci au dossier. De plus, les autres éléments à l'appui de l'ordonnance querellée, mentionnés à titre accessoire et succinctement dans sa motivation, consistent essentiellement en des déclarations de la mère de la mineure, reprises par le SPMi, relatives à des violences antérieures et des dépendances diverses du recourant. L'enfant E______ a fait lui aussi état de violences verbales, notamment, et d'un comportement colérique et autoritaire du recourant, comportement qui a également pu être observé, à teneur des rapports à la procédure, par divers médecins et enseignants. Certes, tous cela est assez mince, si l'on considère que la mesure de retrait de garde est l'une des mesures de protection les plus incisives. Cela étant, en l'état et sur mesures provisionnelles, la Cour retient que la décision du Tribunal de protection est conforme à la loi. Les problèmes de comportement du recourant faisaient apparaître la nécessité de prendre la mesure de protection ordonnée, une garde alternée n'étant momentanément plus compatible avec l'intérêt de l'enfant F______ et apparaissant contraire à son bon développement. Cependant, dans le cadre de l'examen de la situation au fond, le Tribunal de protection devra prendre en compte, non seulement le résultat de l'expertise</w:t>
      </w:r>
    </w:p>
    <w:p>
      <w:r>
        <w:t>- 9/10 -</w:t>
      </w:r>
    </w:p>
    <w:p>
      <w:r>
        <w:t>C/13535/2023-CS ordonnée et de sa propre instruction mais également les attestations de suivi et éléments de preuve remis par le recourant à sa demande. Concernant la réglementation des relations personnelles, telle qu'elle ressort de l'ordonnance attaquée, pour les motifs invoqués ci-dessus également, la décision entreprise doit être confirmée de même, étant précisé que cette réglementation pourra évoluer grâce aux mesures mises en œuvre par le Tribunal de protection et devra faire l'objet d'un nouvel examen sur le fond à réception de l'expertise ordonnée par lui. Il ressort par ailleurs de la procédure que les deux enfants, qui souffraient d'anxiété, de problèmes de comportement (E______) et de concentration (F______), ainsi que de maux de ventre, se sentent apaisés depuis que les relations sont limitées. En ce sens également, leur développement serein nécessitait le prononcé des mesures faisant l'objet de l'ordonnance attaquée. Celle- ci, conforme au droit, apparaît encore proportionnée, sous réserve du réexamen de la situation par le Tribunal de protection à réception de l'expertise ordonnée par lui. L'ordonnance attaquée doit dès lors être confirmée en totalité, les autres points du dispositif ne faisant pas objet de contestations précises. La Chambre de céans rappellera enfin qu'en cas de confirmation de la garde exclusive de l'enfant F______ à sa mère, la résidence habituelle de l'enfant sera transférée, ipso jure et facto à l'étranger, de sorte qu'il appartiendra au Tribunal de protection d'entamer la procédure nécessaire en vue d'un transfert de for dans le pays de nouvelle résidence de l'enfant, conformément aux règles sur la compétence internationale de la Convention de La Haye du 19 octobre 1996 (CLaH96, RS 0.211.231.011) en matière de responsabilité parentale et de mesures de protection des enfants à laquelle la Suisse et la France sont parties (cf. DAS/62/2019).</w:t>
      </w:r>
    </w:p>
    <w:p>
      <w:r>
        <w:rPr>
          <w:b/>
        </w:rPr>
        <w:t>E. 3</w:t>
      </w:r>
    </w:p>
    <w:p>
      <w:r>
        <w:t>La procédure est gratuite (art. 81 LaCC). * * * * *</w:t>
      </w:r>
    </w:p>
    <w:p>
      <w:r>
        <w:t>- 10/10 -</w:t>
      </w:r>
    </w:p>
    <w:p>
      <w:r>
        <w:t>C/13535/2023-CS PAR CES MOTIFS, La Chambre de surveillance : A la forme : Déclare recevable le recours formé le 7 novembre 2024 par A______ contre l'ordonnance DTAE/7818/2024 rendue le 10 septembre 2024 par le Tribunal de protection de l’adulte et de l’enfant dans la cause C/13535/2023. Au fond : Le rejette. Sur les frais : Dit que la procédure est gratuite. Siégeant : Monsieur Cédric-Laurent MICHEL, président;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