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DAS/159/2015 vom 21. Februar 2014</w:t>
      </w:r>
    </w:p>
    <w:p>
      <w:r>
        <w:t>GE Cour de justice, 2014-02-21, FR</w:t>
      </w:r>
    </w:p>
    <w:p>
      <w:r>
        <w:rPr>
          <w:b/>
        </w:rPr>
        <w:t xml:space="preserve">Quelle: </w:t>
      </w:r>
      <w:r>
        <w:t>https://mcp.opencaselaw.ch/entscheid/ge_gerichte_DAS_159_2015</w:t>
      </w:r>
    </w:p>
    <w:p>
      <w:r>
        <w:t>FR: GE_GERICHTE DAS/159/2015 du 21 février 2014</w:t>
      </w:r>
    </w:p>
    <w:p>
      <w:r>
        <w:t>IT: GE_GERICHTE DAS/159/2015 del 21 febbraio 2014</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t>- 6/9 -</w:t>
      </w:r>
    </w:p>
    <w:p>
      <w:r>
        <w:t>C/2073/2014-CS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 recourante a conclu à la convocation d'une audience de comparution personnelle et à l'audition de témoins. Or, en principe, il n'y a pas de débats devant la Chambre de surveillance, sauf en matière de placement à des fins d'assistance (art. 53 al. 5 LaCC). En l'espèce, la cause est suffisamment instruite pour que la Chambre de surveillance puisse statuer sans entendre les parties, qui se sont exprimées dans leurs écritures, ni les témoins. Par ailleurs et compte tenu de l'absence totale de dialogue entre les parties, il serait illusoire d'espérer que la tenue d'une audience permette de trouver un accord. Au vu de ce qui précède, la recourante ne sera pas suivie sur ce point.</w:t>
      </w:r>
    </w:p>
    <w:p>
      <w:r>
        <w:rPr>
          <w:b/>
        </w:rPr>
        <w:t>E. 2.1</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2.2</w:t>
      </w:r>
    </w:p>
    <w:p>
      <w:r>
        <w:t>En l'espèce, les modalités du droit de visite prévues par le Tribunal de protection sont proportionnées et adaptées. En effet, contrairement à ce qu'allègue la recourante, aucun élément dans le dossier ne permet de retenir que l'instauration de relations personnelles non surveillées entre l'intimé et son fils serait susceptible de mettre en danger la santé de ce dernier. La recourante allègue des violences sur sa personne de la part de l'intimé, que ce dernier conteste. Ces violences, pour autant qu'elles soient avérées, ne signifient toutefois pas que l'intimé ne soit pas en mesure de s'occuper de son fils. Ainsi que le relève le Service de protection des mineurs, la violence physique dénoncée, outre le fait qu'elle n'a pas été formellement établie, témoignerait davantage des difficultés du couple parental</w:t>
      </w:r>
    </w:p>
    <w:p>
      <w:r>
        <w:t>- 7/9 -</w:t>
      </w:r>
    </w:p>
    <w:p>
      <w:r>
        <w:t>C/2073/2014-CS que de la relation entre le père et l'enfant. Le Service de protection des mineurs considère que l'intimé est en mesure de prendre en charge son fils, comme il l'avait d'ailleurs fait seul à certains moments durant la vie commune. L'intimé a par ailleurs accueilli sa fille aînée, issue d'une autre relation, et aucun cas de mise en danger et de négligence n'avait été évoqué. Les craintes de la recourante paraissent donc infondées. Il n'y a dès lors pas lieu de restreindre les modalités du droit de visite fixées par le Tribunal de protection</w:t>
      </w:r>
    </w:p>
    <w:p>
      <w:r>
        <w:t>Le chiffre 1 de l'ordonnance querellée sera donc confirmé. Il sera par ailleurs rappelé à la recourante son devoir de favoriser la relation de l'enfant avec l'autre parent (cf. ch. 7 du dispositif de l'ordonnance querellée).</w:t>
      </w:r>
    </w:p>
    <w:p>
      <w:r>
        <w:rPr>
          <w:b/>
        </w:rPr>
        <w:t>E. 3.1</w:t>
      </w:r>
    </w:p>
    <w:p>
      <w:r>
        <w:t>Lorsque les circonstances l'exigent, l'autorité de protection de l'enfant nomme un curateur aux fins de surveiller les relations personnelles (art. 308 al. 2 CC). Le curateur aide les parents à organiser et planifier l'exercice du droit de visite (art. 83 al. 1 LaCC).</w:t>
      </w:r>
    </w:p>
    <w:p>
      <w:r>
        <w:t>Si le développement de l’enfant n’est menacé que par les difficultés liées à l’exercice du droit de visite, la tâche du curateur éducatif peut être limitée à la seule surveillance des relations personnelles (ATF 140 III 241 consid. 2.3; ATF 108 II 372).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w:t>
      </w:r>
    </w:p>
    <w:p>
      <w:r>
        <w:t>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w:t>
      </w:r>
    </w:p>
    <w:p>
      <w:r>
        <w:rPr>
          <w:b/>
        </w:rPr>
        <w:t>E. 3.2</w:t>
      </w:r>
    </w:p>
    <w:p>
      <w:r>
        <w:t>En l'espèce, les parties ne parviennent toujours pas, en dépit de l'écoulement du temps, à organiser ensemble l'exercice du droit de visite. L'instauration d'une curatelle d'organisation et de surveillance du droit de visite est donc nécessaire, ce qu'elles ne contestent au demeurant pas.</w:t>
      </w:r>
    </w:p>
    <w:p>
      <w:r>
        <w:rPr>
          <w:b/>
        </w:rPr>
        <w:t>E. 3.3</w:t>
      </w:r>
    </w:p>
    <w:p>
      <w:r>
        <w:t>Compte tenu de l'absence de dialogue entre les parents, le Tribunal de protection a par ailleurs exhorté les parties à la médiation et leur a rappelé leur devoir d'apaiser leur conflit et d'instaurer entre eux le dialogue et la collaboration indispensables pour éviter à leur enfant un conflit de loyauté propre à avoir des conséquences sur son développement. Ces mesures sont nécessaires et seront donc confirmées par la Chambre de surveillance. La recourante ne formule d'ailleurs aucun grief précis à l'encontre de celles-ci.</w:t>
      </w:r>
    </w:p>
    <w:p>
      <w:r>
        <w:t>- 8/9 -</w:t>
      </w:r>
    </w:p>
    <w:p>
      <w:r>
        <w:t>C/2073/2014-CS</w:t>
      </w:r>
    </w:p>
    <w:p>
      <w:r>
        <w:rPr>
          <w:b/>
        </w:rPr>
        <w:t>E. 4</w:t>
      </w:r>
    </w:p>
    <w:p>
      <w:r>
        <w:t>Infondé, le recours sera rejeté et l'ordonnance querellée intégralement confirmée.</w:t>
      </w:r>
    </w:p>
    <w:p>
      <w:r>
        <w:rPr>
          <w:b/>
        </w:rPr>
        <w:t>E. 5</w:t>
      </w:r>
    </w:p>
    <w:p>
      <w:r>
        <w:t>La procédure de recours, qui a porté essentiellement sur les relations personnelles, n'est pas gratuite. Les frais seront fixés à 400 fr. (art. 77 LaCC) et mis à la charge de la recourante, qui succombe intégralement (art. 106 al. 1 CPC). Ils sont compensés par l'avance de frais, laquelle reste acquise à l'Etat (art. 111 al. 1 CPC).</w:t>
      </w:r>
    </w:p>
    <w:p>
      <w:r>
        <w:t>Il ne sera pas alloué de dépens, vu la qualité des parties (art. 107 al. 1 lett. c CPC). * * * * *</w:t>
      </w:r>
    </w:p>
    <w:p>
      <w:r>
        <w:t>- 9/9 -</w:t>
      </w:r>
    </w:p>
    <w:p>
      <w:r>
        <w:t>C/2073/2014-CS PAR CES MOTIFS, La Chambre de surveillance : A la forme : Déclare recevable le recours formé par A______ contre l'ordonnance DTAE/1854/2015 du 30 avril 2015 rendue par le Tribunal de protection de l'adulte et de l'enfant dans la cause C/2073/2014-7. Au fond : Rejette le recours et confirme l'ordonnance querellée. Déboute les parties de toutes autres conclusions. Sur les frais : Arrête les frais de la procédure à 400 fr., les met à la charge de A______ et les compense avec l'avance versée, qui reste acquise à l'Etat. Dit qu'il n'est pas alloué de dépens. Siégeant : Monsieur Cédric-Laurent MICHEL, président; Monsieur Jean-Marc STRUBIN et Madame Paola CAMPOMAGNANI, juges; Madame Véronique BULUNDWE, greffière.</w:t>
      </w:r>
    </w:p>
    <w:p>
      <w:r>
        <w:t>Le président : Cédric-Laurent MICHEL</w:t>
      </w:r>
    </w:p>
    <w:p>
      <w:r>
        <w:t>La greffière : Véronique BULUNDWE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