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DAS/158/2019 vom 5. August 2019</w:t>
      </w:r>
    </w:p>
    <w:p>
      <w:r>
        <w:t>GE Cour de justice, 2019-08-05, FR</w:t>
      </w:r>
    </w:p>
    <w:p>
      <w:r>
        <w:rPr>
          <w:b/>
        </w:rPr>
        <w:t xml:space="preserve">Quelle: </w:t>
      </w:r>
      <w:r>
        <w:t>https://mcp.opencaselaw.ch/entscheid/ge_gerichte_DAS_158_2019</w:t>
      </w:r>
    </w:p>
    <w:p>
      <w:r>
        <w:t>FR: GE_GERICHTE DAS/158/2019 du 5 août 2019</w:t>
      </w:r>
    </w:p>
    <w:p>
      <w:r>
        <w:t>IT: GE_GERICHTE DAS/158/2019 del 5 agosto 2019</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w:t>
      </w:r>
    </w:p>
    <w:p>
      <w:r>
        <w:t>- 4/6 -</w:t>
      </w:r>
    </w:p>
    <w:p>
      <w:r>
        <w:t>C/6073/2017-CS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w:t>
      </w:r>
    </w:p>
    <w:p>
      <w:r>
        <w:t>2.1.1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2.1.2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w:t>
      </w:r>
    </w:p>
    <w:p>
      <w:r>
        <w:t>- 5/6 -</w:t>
      </w:r>
    </w:p>
    <w:p>
      <w:r>
        <w:t>C/6073/2017-CS</w:t>
      </w:r>
    </w:p>
    <w:p>
      <w:r>
        <w:rPr>
          <w:b/>
        </w:rPr>
        <w:t>E. 2.2</w:t>
      </w:r>
    </w:p>
    <w:p>
      <w:r>
        <w:t>En l'espèce, le recourant est connu pour des troubles psychiques qui l'ont conduit, à plusieurs reprises depuis 2017, à être hospitalisé contre sa volonté, suite à des épisodes lors desquels il a adopté un comportement violent et auto ou hétéro-agressif, dont deux fois cette année. L'expert, dans un rapport détaillé du 29 juillet 2019, a confirmé le diagnostic de trouble bipolaire affectif, qui avait déjà été mis en exergue dans l'expertise réalisée en avril 2019. Au moment de son hospitalisation à [l'établissement] D______ le 16 juillet 2019, le recourant se trouvait en phase maniaque, avec symptômes psychotiques et présentait un danger tant pour autrui, puisqu'il avait jeté un volet ainsi que divers objets par la fenêtre de son logement, que pour lui- même, compte tenu de ses tentatives de suicide et des blessures qu'il s'était infligées. Son placement était donc justifié au moment où il a été ordonné. De même l'était-il au moment où le Tribunal de protection a statué, l'état du recourant s'étant amélioré, selon les dires du médecin de [l'établissement] D______ auditionné, mais pas suffisamment pour exclure tout passage à l'acte auto ou hétéro-agressif en cas de fin d'hospitalisation. Depuis lors, l'humeur du recourant est relativement stable, il est cohérent et il regrette son acte. Cependant, il refuse depuis quelques jours la prise de son traitement médicamenteux, alléguant des maux de tête intenses et des crampes douloureuses et se persuadant que la prise de cannabis le jour de sa dernière crise était la seule cause de ses agissements. Ce faisant, le recourant n'a manifestement pas pris conscience que le suivi de son traitement permettrait que son état se stabilise de manière durable et limiterait la survenue de nouvelles crises maniaques, alors même que depuis le printemps 2019, il a fait l'objet de deux hospitalisations non volontaires. Le Dr E______, entendu par la juge déléguée de la Chambre de surveillance, a précisé que le traitement médicamenteux mis en place était toujours nécessaire et que le recourant devait demeurer hospitaliser afin de permettre une stabilisation de son état et l'assurance d'un suivi à sa sortie, le recourant arrêtant habituellement tout traitement dès qu'il quittait l'hôpital. Il existait toujours actuellement un risque de comportement auto ou hétéro-agressif s'il devait sortir de clinique et un traitement par voie injectable était envisagé s'il continuait à refuser la prise de ses médicaments par voie orale. Au vu de ce qui précède, le placement à des fins d'assistance du recourant est toujours nécessaire et l'établissement dans lequel il se trouve est approprié, de sorte que le recours sera rejeté.</w:t>
      </w:r>
    </w:p>
    <w:p>
      <w:r>
        <w:rPr>
          <w:b/>
        </w:rPr>
        <w:t>E. 3</w:t>
      </w:r>
    </w:p>
    <w:p>
      <w:r>
        <w:t>La procédure est gratuite (art. 22 al. 4 LaCC). * * * * *</w:t>
      </w:r>
    </w:p>
    <w:p>
      <w:r>
        <w:t>- 6/6 -</w:t>
      </w:r>
    </w:p>
    <w:p>
      <w:r>
        <w:t>C/6073/2017-CS</w:t>
      </w:r>
    </w:p>
    <w:p>
      <w:r>
        <w:t>PAR CES MOTIFS, La Chambre de surveillance : A la forme : Déclare recevable le recours formé le 5 août 2019 par A______ contre l'ordonnance DTAE/4696/2019 rendue le 30 juillet 2019 par le Tribunal de protection de l'adulte et de l'enfant dans la cause C/6073/2017-5. Au fond : Le rejette. Dit que la procédure est gratuite. Siégeant : Madame Paola CAMPOMAGNANI, présidente,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