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DAS/157/2020 vom 29. Mai 2020</w:t>
      </w:r>
    </w:p>
    <w:p>
      <w:r>
        <w:t>GE Cour de justice, 2020-05-29, FR</w:t>
      </w:r>
    </w:p>
    <w:p>
      <w:r>
        <w:rPr>
          <w:b/>
        </w:rPr>
        <w:t xml:space="preserve">Quelle: </w:t>
      </w:r>
      <w:r>
        <w:t>https://mcp.opencaselaw.ch/entscheid/ge_gerichte_DAS_157_2020</w:t>
      </w:r>
    </w:p>
    <w:p>
      <w:r>
        <w:t>FR: GE_GERICHTE DAS/157/2020 du 29 mai 2020</w:t>
      </w:r>
    </w:p>
    <w:p>
      <w:r>
        <w:t>IT: GE_GERICHTE DAS/157/2020 del 29 maggio 2020</w:t>
      </w:r>
    </w:p>
    <w:p>
      <w:pPr>
        <w:pStyle w:val="Heading2"/>
      </w:pPr>
      <w:r>
        <w:t>Erwägungen</w:t>
      </w:r>
    </w:p>
    <w:p>
      <w:r>
        <w:rPr>
          <w:b/>
        </w:rPr>
        <w:t>E. 1.1</w:t>
      </w:r>
    </w:p>
    <w:p>
      <w:r>
        <w:t>Les décisions du Tribunal de protection sont susceptibles de recours à la Chambre de surveillance de la Cour de justice dans un délai de 30 jours à compter de leur notification (art. 440 al. 3, 450 b al. 1 et 450 f CC; 153 al. 1 et 2 LaCC; 126 al. 3 LOJ). Le recours doit être dûment motivé et interjeté par écrit auprès du juge (art. 450 al. 3 CC).</w:t>
      </w:r>
    </w:p>
    <w:p>
      <w:r>
        <w:rPr>
          <w:b/>
        </w:rPr>
        <w:t>E. 1.2</w:t>
      </w:r>
    </w:p>
    <w:p>
      <w:r>
        <w:t>Introduit en l'espèce dans le délai utile et selon la forme prescrite auprès de l'autorité compétente, le recours est recevable.</w:t>
      </w:r>
    </w:p>
    <w:p>
      <w:r>
        <w:rPr>
          <w:b/>
        </w:rPr>
        <w:t>E. 1.3</w:t>
      </w:r>
    </w:p>
    <w:p>
      <w:r>
        <w:t>La Cour revoit la cause avec un plein pouvoir d'examen, les faits étant établis et le droit appliqué d'office (art. 446 al. 1 et 4 CC applicable par renvoi de l'art. 314 al. 1 CC).</w:t>
      </w:r>
    </w:p>
    <w:p>
      <w:r>
        <w:rPr>
          <w:b/>
        </w:rPr>
        <w:t>E. 2</w:t>
      </w:r>
    </w:p>
    <w:p>
      <w:r>
        <w:t>Dans ses dernières écritures, le recourant s'en remet à justice s'agissant de la question de l'autorité parentale conjointe soulevée dans son recours. Les parties semblent admettre qu'elles sont les deux titulaires de l'autorité parentale sur les</w:t>
      </w:r>
    </w:p>
    <w:p>
      <w:r>
        <w:t>- 5/6 -</w:t>
      </w:r>
    </w:p>
    <w:p>
      <w:r>
        <w:t>C/16452/2019-CS enfants, suite au dépôt de la déclaration prévue par la loi auprès de l'officier d'état civil. Le Tribunal de protection a basé sa décision notamment sur la prémisse que la mère détenait seule l'autorité parentale sur ceux-ci. La clarification de la situation de faits et de la situation juridique a un impact sur la question de l'instauration de la garde alternée éventuelle sur les enfants, requise par le recourant. En effet, dans le cas d'enfants nés hors mariage, l'art. 298a al. 5 CC stipule que jusqu'au dépôt de la déclaration commune des parents, l'enfant est soumis à l'autorité parentale exclusive de la mère. Si la déclaration commune est déposée, l'autorité parentale est conjointe (art. 298a CC). Cette déclaration doit être déposée en même temps que la reconnaissance de l'enfant par devant l'officier d'état civil ou ultérieurement auprès de l'autorité de protection du lieu de domicile de l'enfant (art. 298a al.4 CC). Lorsque l'autorité parentale est exercée conjointement, l'autorité de protection de l'enfant examine, selon le bien de l'enfant, la possibilité de la garde alternée, si le père ou la mère le demande (art. 298b al.3ter CC). La garde alternée n'est envisagée, dès lors, que si l'autorité parentale est conjointe. Il est donc nécessaire de le déterminer en premier lieu, puisque la garde alternée est la situation dans laquelle les parents exercent en commun l'autorité parentale mais se partagent la garde de l'enfant d'une façon alternée pour des périodes plus ou moins égales (arrêt du Tribunal fédéral 5A_66/2019 c.4.1). Dans le cas présent, le dossier, constellé de pièces inutiles produites par les parties, ne permet pas de déterminer précisément le statut de l'autorité parentale des parties sur les enfants. Le Tribunal de protection a retenu que la mère en était seule détentrice alors que les parties considèrent avoir déposé la déclaration prévue par la loi auprès de l'officier d'état civil et exercer cette autorité conjointement. Pour pouvoir statuer sur la question de la garde alternée requise par le recourant, la question préalable de l'exercice de l'autorité parentale doit être tranchée. Dans l'impossibilité de le faire au vu du dossier qui lui est soumis, la Cour doit annuler pour ce motif déjà l'ordonnance attaquée et renvoyer la cause au Tribunal de protection pour complément d'instruction au sens des considérants et nouvelle décision, sans qu'il soit besoin d'examiner les autres griefs soulevés. Vu l'issue de la procédure les frais seront laissés à la charge de l'Etat. L'avance de frais versée par le recourant lui sera restituée. Vu la nature de la cause, il ne sera pas alloué de dépens.</w:t>
      </w:r>
    </w:p>
    <w:p>
      <w:r>
        <w:t>* * * * *</w:t>
      </w:r>
    </w:p>
    <w:p>
      <w:r>
        <w:t>- 6/6 -</w:t>
      </w:r>
    </w:p>
    <w:p>
      <w:r>
        <w:t>C/16452/2019-CS PAR CES MOTIFS, La Chambre de surveillance : A la forme : Déclare recevable le recours formé le 29 mai 2020 par A______ contre l'ordonnance DTAE/8023/2019 rendue le 9 décembre 2019 par le Tribunal de protection de l'adulte et de l'enfant dans la cause C/16452/2019. Au fond : Annule cette ordonnance. Revoie la procédure au Tribunal de protection pour complément d'instruction au sens des considérants et nouvelle décision. Laisse les frais à la charge de l'Etat et ordonne la restitution au recourant de l'avance de frais versée,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