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DAS/157/2016 vom 28. April 2016</w:t>
      </w:r>
    </w:p>
    <w:p>
      <w:r>
        <w:t>GE Cour de justice, 2016-04-28, FR</w:t>
      </w:r>
    </w:p>
    <w:p>
      <w:r>
        <w:rPr>
          <w:b/>
        </w:rPr>
        <w:t xml:space="preserve">Quelle: </w:t>
      </w:r>
      <w:r>
        <w:t>https://mcp.opencaselaw.ch/entscheid/ge_gerichte_DAS_157_2016</w:t>
      </w:r>
    </w:p>
    <w:p>
      <w:r>
        <w:t>FR: GE_GERICHTE DAS/157/2016 du 28 avril 2016</w:t>
      </w:r>
    </w:p>
    <w:p>
      <w:r>
        <w:t>IT: GE_GERICHTE DAS/157/2016 del 28 aprile 2016</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Formé par la mère du mineur concerné par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placement de son fils au sein de l'institut F______ à G______ (VD).</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t>- 7/8 -</w:t>
      </w:r>
    </w:p>
    <w:p>
      <w:r>
        <w:t>C/402/2016-CS</w:t>
      </w:r>
    </w:p>
    <w:p>
      <w:r>
        <w:rPr>
          <w:b/>
        </w:rPr>
        <w:t>E. 2.2</w:t>
      </w:r>
    </w:p>
    <w:p>
      <w:r>
        <w:t>Dans le cas d'espèce, il ressort de la procédure que le parcours scolaire de C______ a été principalement suivi en enseignement spécialisé, compte tenu de ses troubles comportementaux. La poursuite de sa formation a toutefois été interrompue, puisqu'il a été exclu de D______ au mois de décembre 2013 et du CTP en novembre 2014. Quant à son évaluation au sein de l'EPI, elle s'est achevée au mois de janvier 2016. Il en ressort qu'en raison de son faible niveau scolaire et de ses difficultés de concentration, C______ ne peut intégrer en l'état une formation, que ce soit dans un milieu classique ou dans un atelier protégé. Cette analyse rejoint celle faite au début du mois de juin 2016 par les professionnels de l'atelier E______ après un mois d'observation. Selon eux en effet, C______ n'est pas prêt à travailler en leur sein, ni à intégrer le monde professionnel. Il découle de ce qui précède que l'adolescent se retrouve actuellement dans une impasse, quand bien même les professionnels de l'EPI et de l'atelier E______ ont relevé que C______ a du potentiel et qu'il est capable de progresser. Il convient dès lors de trouver une solution permettant au mineur d'être soutenu afin qu'il améliore ses compétences et assurant la prise en charge de ses troubles comportementaux (sa thérapie ayant été interrompue au mois de novembre 2015), dans le but de lui permettre, à terme, d'acquérir une bonne autonomie et d'entreprendre une formation. L'institut F______ à G______ (VD) vise à favoriser le rétablissement et l'acquisition d'une meilleure autonomie en vue d'une réinsertion sociale, scolaire et professionnelle. Une équipe pluridisciplinaire encadre le processus de soins par des activités psychothérapeutiques, psychosociales et de réhabilitation (cf. ______). Cet établissement constitue, tant selon l'Office médico-pédagogique que le Service de protection des mineurs, la meilleure solution possible pour C______. Ce dernier, opposé à son placement, a tenté par ses propres moyens de trouver une alternative, ses démarches, qui doivent être saluées, ayant abouti au stage effectué au sein de l'atelier E______. Or, la période d'observation d'un mois dont a bénéficié le mineur a permis de confirmer qu'il n'était pas prêt pour intégrer le monde professionnel, ayant d'autres problèmes à régler avant. Il ressort par conséquent de ce qui précède que la décision rendue par le Tribunal de protection doit être confirmée, le placement de C______ au sein de l'institut F______ étant adéquat et conforme à son intérêt. Il convient également de relever que l'adolescent aura bientôt 17 ans. Il est dès lors indispensable de faire en sorte qu'il bénéficie du meilleur suivi possible avant qu'il atteigne la majorité.</w:t>
      </w:r>
    </w:p>
    <w:p>
      <w:r>
        <w:rPr>
          <w:b/>
        </w:rPr>
        <w:t>E. 2.3</w:t>
      </w:r>
    </w:p>
    <w:p>
      <w:r>
        <w:t>Les autres mesures prononcées par le Tribunal de protection n'ont pas été contestées; elles paraissent adéquates et seront par conséquent confirmées.</w:t>
      </w:r>
    </w:p>
    <w:p>
      <w:r>
        <w:t>- 8/8 -</w:t>
      </w:r>
    </w:p>
    <w:p>
      <w:r>
        <w:t>C/402/2016-CS</w:t>
      </w:r>
    </w:p>
    <w:p>
      <w:r>
        <w:rPr>
          <w:b/>
        </w:rPr>
        <w:t>E. 3</w:t>
      </w:r>
    </w:p>
    <w:p>
      <w:r>
        <w:t>La procédure est gratuite s'agissant de mesures de protection d'un mineur (art. 81 al. 1 LaCC). * * * * * PAR CES MOTIFS, La Chambre de surveillance : A la forme : Déclare recevable le recours formé le 28 avril 2016 par A______ contre l'ordonnance DTAE/1738/2016 du 7 avril 2016 rendue par le Tribunal de protection de l'adulte et de l'enfant dans la cause C/402/2016-7. Au fond : Le rejette et confirme l'ordonnance attaquée.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