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DAS/155/2020 vom 20. September 2020</w:t>
      </w:r>
    </w:p>
    <w:p>
      <w:r>
        <w:t>GE Cour de justice, 2020-09-20, FR</w:t>
      </w:r>
    </w:p>
    <w:p>
      <w:r>
        <w:rPr>
          <w:b/>
        </w:rPr>
        <w:t xml:space="preserve">Quelle: </w:t>
      </w:r>
      <w:r>
        <w:t>https://mcp.opencaselaw.ch/entscheid/ge_gerichte_DAS_155_2020</w:t>
      </w:r>
    </w:p>
    <w:p>
      <w:r>
        <w:t>FR: GE_GERICHTE DAS/155/2020 du 20 septembre 2020</w:t>
      </w:r>
    </w:p>
    <w:p>
      <w:r>
        <w:t>IT: GE_GERICHTE DAS/155/2020 del 20 settembre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par la personne concernée, dans le délai utile de dix jours (art. 72 al. 1 LaCC). Il est donc recevable à la forme.</w:t>
      </w:r>
    </w:p>
    <w:p>
      <w:r>
        <w:rPr>
          <w:b/>
        </w:rPr>
        <w:t>E. 1.2</w:t>
      </w:r>
    </w:p>
    <w:p>
      <w:r>
        <w:t>L'autorité de protection compétente est celle du domicile de la personne concernée (art. 442 al. 1 CC). Lorsqu’il y a péril en la demeure, l’autorité du lieu où réside la personne concernée est également compétente (art. 442 al. 2 CC).</w:t>
      </w:r>
    </w:p>
    <w:p>
      <w:r>
        <w:t>En l'espèce, compte tenu de la situation de péril pour elle-même et les tiers dans laquelle se trouvait la recourante, la compétence des autorités genevoises est acquise, indépendamment du domicile à l'étranger de la personne concernée par la mesure.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w:t>
      </w:r>
    </w:p>
    <w:p>
      <w:r>
        <w:t>- 5/6 -</w:t>
      </w:r>
    </w:p>
    <w:p>
      <w:r>
        <w:t>C/17276/2020-CS autrement et l'existence d'une institution appropriée (cf. notamment DAS/67/2014 c. 2.1). La personne concernée est libérée dès que les conditions du placement ne sont plus remplies (art. 426 al. 3 CC).</w:t>
      </w:r>
    </w:p>
    <w:p>
      <w:r>
        <w:rPr>
          <w:b/>
        </w:rPr>
        <w:t>E. 3</w:t>
      </w:r>
    </w:p>
    <w:p>
      <w:r>
        <w:t>Dans le cas d'espèce, la recourante a été hospitalisée contre son gré le</w:t>
      </w:r>
    </w:p>
    <w:p>
      <w:r>
        <w:rPr>
          <w:b/>
        </w:rPr>
        <w:t>E. 4</w:t>
      </w:r>
    </w:p>
    <w:p>
      <w:r>
        <w:t>La procédure est gratuite (art. 22 al. 4 LaCC).</w:t>
      </w:r>
    </w:p>
    <w:p>
      <w:r>
        <w:t>- 6/6 -</w:t>
      </w:r>
    </w:p>
    <w:p>
      <w:r>
        <w:t>C/17276/2020-CS PAR CES MOTIFS, La Chambre de surveillance : A la forme : Déclare recevable le recours formé le 20 septembre 2020 par A______ contre l'ordonnance DTAE/5125/2020 du 11 septembre 2020 rendue par le Tribunal de protection de l'adulte et de l'enfant dans la cause C/17276/2020. Au fond : Le rejette et confirme l'ordonnance attaquée. Cela fait : Ordonne la libération de A______.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