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DAS/154/2024 vom 3. Juli 2024</w:t>
      </w:r>
    </w:p>
    <w:p>
      <w:r>
        <w:t>GE Cour de justice, 2024-07-03, FR</w:t>
      </w:r>
    </w:p>
    <w:p>
      <w:r>
        <w:rPr>
          <w:b/>
        </w:rPr>
        <w:t xml:space="preserve">Quelle: </w:t>
      </w:r>
      <w:r>
        <w:t>https://mcp.opencaselaw.ch/entscheid/ge_gerichte_DAS_154_2024</w:t>
      </w:r>
    </w:p>
    <w:p>
      <w:r>
        <w:t>FR: GE_GERICHTE DAS/154/2024 du 3 juillet 2024</w:t>
      </w:r>
    </w:p>
    <w:p>
      <w:r>
        <w:t>IT: GE_GERICHTE DAS/154/2024 del 3 luglio 2024</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w:t>
      </w:r>
    </w:p>
    <w:p>
      <w:r>
        <w:rPr>
          <w:b/>
        </w:rPr>
        <w:t>E. 1.2</w:t>
      </w:r>
    </w:p>
    <w:p>
      <w:r>
        <w:t>En l'espèce, la valeur litigieuse est supérieure à 10'000 fr., compte tenu de la valeur de la succession de feu E______, telle qu’elle peut être déduite de l’avis de taxation versé à la procédure. Formé dans le délai (art. 142 al. 3 CPC) et selon la forme prescrite par la loi (art. 130, 131, 311 al. 1 CPC), par la veuve et la fille du défunt, l'appel est formellement recevable.</w:t>
      </w:r>
    </w:p>
    <w:p>
      <w:r>
        <w:rPr>
          <w:b/>
        </w:rPr>
        <w:t>E. 1.3</w:t>
      </w:r>
    </w:p>
    <w:p>
      <w:r>
        <w:t>La Cour revoit la cause en fait et en droit, avec un plein pouvoir d'examen (art. 310 CPC).</w:t>
      </w:r>
    </w:p>
    <w:p>
      <w:r>
        <w:rPr>
          <w:b/>
        </w:rPr>
        <w:t>E. 2</w:t>
      </w:r>
    </w:p>
    <w:p>
      <w:r>
        <w:t>Les appelantes ont pris des conclusions préalables tendant à faire constater la caducité du testament du défunt et leur qualité de seules héritières de celui-ci.</w:t>
      </w:r>
    </w:p>
    <w:p>
      <w:r>
        <w:rPr>
          <w:b/>
        </w:rPr>
        <w:t>E. 2.1</w:t>
      </w:r>
    </w:p>
    <w:p>
      <w:r>
        <w:t>La Justice de paix est compétente pour assurer la dévolution des successions au sens de la Loi d’application du Code civil (ci-après: LaCC), lorsque la personne décédée était domiciliée à Genève. 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Les mesures de sûreté sont prises dans une procédure gracieuse destinée uniquement à assurer la dévolution des biens de la succession, et non</w:t>
      </w:r>
    </w:p>
    <w:p>
      <w:r>
        <w:t>- 5/8 -</w:t>
      </w:r>
    </w:p>
    <w:p>
      <w:r>
        <w:t>Erreur ! Source du renvoi introuvable. à trancher les litiges entre ayants droit (PIOTET, Droit successoral, Traité de droit privé suisse, 1975, p. 623, arrêt du Tribunal fédéral 5A_763/2012 consid. 5.1.1). Le juge de paix ne peut pas statuer sur les questions de droit matériel qui relèvent du juge ordinaire. Il appartient en effet au juge civil de statuer sur la validité d'un testament qui serait contesté et de déterminer définitivement à qui revient la qualité d'héritier (SJ 2001 I 519).</w:t>
      </w:r>
    </w:p>
    <w:p>
      <w:r>
        <w:rPr>
          <w:b/>
        </w:rPr>
        <w:t>E. 2.2</w:t>
      </w:r>
    </w:p>
    <w:p>
      <w:r>
        <w:t>En l’espèce et conformément à ce que la Justice de paix avait déjà relevé dans le courrier qu’elle a adressé au conseil des appelantes le 24 mai 2024, il n’appartenait pas à cette juridiction de se prononcer sur la validité du testament litigieux, ni sur la question de savoir si les appelantes sont, ou pas, les seules héritières du défunt. Par voie de conséquence, la Cour de céans ne saurait trancher ces questions dans le cadre de l’appel formé contre une décision de la Justice de paix, laquelle, à juste titre, ne s’est pas prononcée sur ces points. Il appartient dès lors aux appelantes, si elles s’estiment fondées à le faire, de saisir le Tribunal de première instance, seul compétent pour statuer sur la validité du testament et sur la qualité d’héritier.</w:t>
      </w:r>
    </w:p>
    <w:p>
      <w:r>
        <w:rPr>
          <w:b/>
        </w:rPr>
        <w:t>E. 3</w:t>
      </w:r>
    </w:p>
    <w:p>
      <w:r>
        <w:t>Reste à déterminer si c’est à juste titre que la Justice de paix a ordonné l’administration d’office de la succession de feu E______. 3.1.1 Cette mesure est destinée à conserver la substance de la succession lorsque la gestion ordinaire par les héritiers présenterait un risque particulier. L’art. 554 al. 1 prévoit quatre cas où l’administration d’office doit être ordonnée de par le droit fédéral. Il s’agit surtout de situations dans lesquelles il est impossible, pour des motifs d’ordre extérieur, d’obtenir le concours de tous les héritiers à la gestion de la succession (STEINAUER, Le droit des successions, 2ème éd., 2015, n. 870, 871). L’art. 554 al. 1 ch. 3 prévoit que l'autorité ordonne l'administration d'office de la succession notamment lorsque tous les héritiers du défunt ne sont pas connus. 3.1.2 Lorsque l’autorité ignore si le défunt a laissé des héritiers ou lorsqu’elle n’a pas la certitude de les connaître tous, elle invite les ayants droit, par sommation dûment publiée, à faire leur déclaration d’héritier dans l’année (art. 555 al. 1 CC). La succession passe au canton ou à la commune, si l’autorité ne reçoit aucune déclaration dans ce délai et s’il n’y a pas d’héritiers connus d’elle; l’action en pétition d’hérédité demeure réservée (art. 555 al. 2 CC).</w:t>
      </w:r>
    </w:p>
    <w:p>
      <w:r>
        <w:t>- 6/8 -</w:t>
      </w:r>
    </w:p>
    <w:p>
      <w:r>
        <w:t>Erreur ! Source du renvoi introuvable. Lorsque l’administration d’office de la succession a été ordonnée en raison d’une incertitude sur les héritiers au sens de l’art. 554 al. 1 ch. 2 in fine et 3, l’autorité compétente doit s’efforcer de clarifier la situation. Elle doit pour cela procéder à un appel public aux héritiers (art. 555 al. 1 CC) (STEINAUER, op. cit. n. 880). L’appel doit être publié, généralement deux ou trois fois, de manière appropriée au vu de l’incertitude à lever (par exemple, dans un journal de la région où vit la famille de l’héritier en Suisse et dans un journal du pays où pourrait se trouver un héritier) (STEINAUER, op. cit. n. 880b). Si aucun ayant droit ne s’est annoncé, l’autorité lève l’administration d’office et remet la succession soit aux héritiers qui lui sont connus, soit, à défaut, à la collectivité publique (art. 555 al. 2 1ère phrase).</w:t>
      </w:r>
    </w:p>
    <w:p>
      <w:r>
        <w:rPr>
          <w:b/>
        </w:rPr>
        <w:t>E. 3.2</w:t>
      </w:r>
    </w:p>
    <w:p>
      <w:r>
        <w:t>En l’espèce, le testament rédigé par le défunt le ______ janvier 1961 à Genève, institue héritière son épouse d’alors, F______ ou, à défaut, la fille de cette dernière, issue d’une première union et dont le nom ne figure pas dans le testament, lequel ne semble toutefois pas nul, prima facie, ce que les appelantes n’ont d’ailleurs pas soutenu, puisqu’elles ont invoqué sa caducité. Le défunt a par ailleurs laissé, en qualité d’héritières légales, sa veuve et sa fille, soit les appelantes. Il résulte de ce qui précède que tous les héritiers du défunt ne sont pas connus, puisque la fille de F______, dont l’identité est, en l’état du dossier, inconnue, n’a pas pu être localisée. Conformément à l’art. 554 al. 1 ch. 3 CC, la Justice de paix n’avait d’autre choix que d’ordonner l’administration d’office de la succession, afin d’en conserver la substance, jusqu’à ce que la situation soit éclaircie. Des publications dans la FAO ont certes été faites à deux reprises en février 2024 afin de tenter de localiser F______ ainsi que sa fille, apparemment sans succès. Cela étant, le dossier ne contenant aucun renseignement utile sur ces dernières, il n’est pas exclu qu’une simple publication dans le canton de Genève ne soit pas suffisante s’il devait apparaître des recherches que l’administrateur d’office a été invité à effectuer que F______ et sa fille n’ont, soit, jamais vécu à Genève, soit ont quitté ce canton il y a de nombreuses années déjà pour s’établir ailleurs en Suisse ou à l’étranger. Le délai d’une année prévu par l’art. 555 al. 1 CC n’étant pas encore écoulé, il apparaîtrait prématuré de renoncer à l’administration d’office ordonnée et de remettre la succession aux appelantes.</w:t>
      </w:r>
    </w:p>
    <w:p>
      <w:r>
        <w:t>- 7/8 -</w:t>
      </w:r>
    </w:p>
    <w:p>
      <w:r>
        <w:t>Erreur ! Source du renvoi introuvable. Au vu de ce qui précède, l’appel est infondé; la décision attaquée sera par conséquent confirmée.</w:t>
      </w:r>
    </w:p>
    <w:p>
      <w:r>
        <w:rPr>
          <w:b/>
        </w:rPr>
        <w:t>E. 4</w:t>
      </w:r>
    </w:p>
    <w:p>
      <w:r>
        <w:t>Les frais judiciaires de la procédure d'appel, arrêtés à 500 fr. (art. 26, 35 à 37 RTFMC), seront mis conjointement et solidairement à la charge des appelantes, qui succombent (art. 106 al. 1 CPC).</w:t>
      </w:r>
    </w:p>
    <w:p>
      <w:r>
        <w:t>Ils seront compensés avec l’avance de même montant, qui reste acquise à l’Etat de Genève (art. 111 al. 1 CPC).</w:t>
      </w:r>
    </w:p>
    <w:p>
      <w:r>
        <w:t>Il n’y a pas lieu à l’allocation de dépens. * * * * *</w:t>
      </w:r>
    </w:p>
    <w:p>
      <w:r>
        <w:t>- 8/8 -</w:t>
      </w:r>
    </w:p>
    <w:p>
      <w:r>
        <w:t>Erreur ! Source du renvoi introuvable. PAR CES MOTIFS, La Chambre civile : A la forme : Déclare recevable l'appel formé par A______ et B______ contre la décision DJP/685/2024 rendue le 29 mai 2024 par la Justice de paix dans la cause C/14668/2023. Au fond : Confirme la décision attaquée. Déboute les appelantes de toutes autres conclusions. Sur les frais : Arrête les frais d'appel à 500 fr., les met conjointement et solidairement à la charge de A______ et de B______ et les compense avec l’avance versée, qui reste acquise à l’Etat de Genève. Dit qu'il n'y a pas lieu à l’allocation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