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DAS/150/2018 vom 13. Juni 2013</w:t>
      </w:r>
    </w:p>
    <w:p>
      <w:r>
        <w:t>GE Cour de justice, 2013-06-13, FR</w:t>
      </w:r>
    </w:p>
    <w:p>
      <w:r>
        <w:rPr>
          <w:b/>
        </w:rPr>
        <w:t xml:space="preserve">Quelle: </w:t>
      </w:r>
      <w:r>
        <w:t>https://mcp.opencaselaw.ch/entscheid/ge_gerichte_DAS_150_2018</w:t>
      </w:r>
    </w:p>
    <w:p>
      <w:r>
        <w:t>FR: GE_GERICHTE DAS/150/2018 du 13 juin 2013</w:t>
      </w:r>
    </w:p>
    <w:p>
      <w:r>
        <w:t>IT: GE_GERICHTE DAS/150/2018 del 13 giugno 2013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La recourante invoque une violation du droit d'être entendu de son fils et a sollicité son audition par le biais de sa thérapeute, ainsi que l'établissement d'un rapport concernant la santé de l'enfant. 2.1 Le droit d'être entendu est une garantie de caractère formel dont la violation entraîne en principe l'annulation de la décision attaquée, indépendamment des chances de succès du recours au fond. Le droit d'être entendu confère à toute</w:t>
      </w:r>
    </w:p>
    <w:p>
      <w:r>
        <w:t>- 8/13 -</w:t>
      </w:r>
    </w:p>
    <w:p>
      <w:r>
        <w:t>C/12877/2013-CS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2.2 Dans le cas d'espèce, la recourante a pu faire valoir ses moyens devant la Chambre de surveillance, qui a sollicité un rapport complémentaire du Service de protection des mineurs. Celui-ci a procédé à l'audition de l'enfant, en présence de la thérapeute de ce dernier et a également sollicité des informations auprès de la pédiatre de l'enfant. Une éventuelle violation du droit d'être entendu a par conséquent été guérie et la Chambre de céans s'estime en mesure de rendre une décision, le dossier étant suffisamment instruit.</w:t>
      </w:r>
    </w:p>
    <w:p>
      <w:r>
        <w:rPr>
          <w:b/>
        </w:rPr>
        <w:t>E. 3</w:t>
      </w:r>
    </w:p>
    <w:p>
      <w:r>
        <w:t>La recourante conteste le droit de visite accordé au père de l'enfant.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(Parisima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w:t>
      </w:r>
    </w:p>
    <w:p>
      <w:r>
        <w:t>- 9/13 -</w:t>
      </w:r>
    </w:p>
    <w:p>
      <w:r>
        <w:t>C/12877/2013-CS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 STETTLER, Droit de la filiation, 3ème éd., p. 24). Le juge dispose d'un large pouvoir d'appréciation dans la fixation du droit de visite (ATF 122 III 404 consid. 3d = JdT 1998 I 46).</w:t>
      </w:r>
    </w:p>
    <w:p>
      <w:r>
        <w:rPr>
          <w:b/>
        </w:rPr>
        <w:t>E. 3.2</w:t>
      </w:r>
    </w:p>
    <w:p>
      <w:r>
        <w:t>En l'espèce, la question de l'organisation du droit de visite de B______ sur son fils C______ a été problématique dès le prononcé du jugement de mesures protectrices de l'union conjugale en 2013 et ce en raison de la consommation de stupéfiants de l'intéressé. A plusieurs reprises au fil des années, le mineur a fait part de son malaise à l'égard de cette consommation, alors qu'il était présent chez son père. Ce dernier a certes toujours nié les faits qui lui étaient reprochés, mais force est d'admettre que les explications qu'il a fournies au sujet d'une assiette contenant prétendument de la maïzena paraissent peu crédibles, ce d'autant plus que le test toxicologique effectué au mois de novembre 2013 a donné un résultat positif et que par la suite B______ n'a plus fourni de résultats d'analyses pendant de longs mois, puis a admis, alors qu'un nouveau test allait être effectué au mois d'août 2017, que son résultat serait positif. Il résulte de ce qui précède qu'en dépit de l'écoulement du temps, B______ n'a pas mis un terme à sa consommation de stupéfiants, qu'il décrit comme occasionnelle et festive, minimisant par ailleurs l'impact de celle-ci sur son fils, lequel s'en inquiète.</w:t>
      </w:r>
    </w:p>
    <w:p>
      <w:r>
        <w:t>- 10/13 -</w:t>
      </w:r>
    </w:p>
    <w:p>
      <w:r>
        <w:t>C/12877/2013-CS En l'état, l'enfant a clairement fait part, devant le Service de protection des mineurs et en présence de sa thérapeute, de ses réticences à la reprise des relations personnelles avec son père, la curatrice ayant relevé la maturité de son discours et la nécessité de prendre en considération son ressenti. Il appartient à B______ de tout mettre en œuvre afin d'accueillir son fils dans de bonnes conditions et de le rassurer sur son problème d'addiction. Depuis la séparation des parties, B______ a été rendu attentif à cette problématique et à ses conséquences sur l'exercice de son droit de visite, sans réel résultat pour l'instant, puisque depuis 2014 il ne s'est jamais soumis régulièrement à des analyses toxicologiques et ne semble avoir entrepris aucun suivi psychothérapeutique sérieux sur la durée. Il ne saurait, dans ces conditions, exercer un large droit de visite sur son fils, qu'il convient de préserver des comportements de son père qui le perturbent. Il sera relevé, à cet égard, que l'enfant a déclaré, lors de sa dernière audition par le Service de protection des mineurs, se sentir bien depuis la suspension du droit de visite, dont il y a par conséquent lieu d'admettre qu'elle était dans l'intérêt du mineur. Afin toutefois de ne pas couper toute relation entre l'enfant et son père, il se justifie de prévoir malgré tout un droit de visite qui s'exercera à raison d'un repas de midi par semaine, à fixer d'entente entre les parents en fonction des disponibilités de B______ et de l'enfant, ainsi que d'une journée tous les quinze jours, soit le samedi, soit le dimanche, en alternance, sans les nuits. La mise en œuvre et la poursuite de ce droit de visite seront toutefois conditionnées au fait que B______ se soumette, tous les quinze jours, à des tests urinaires, dont les résultats devront être remis au curateur. En cas de non-communication des résultats des tests ou de résultat positif de ceux-ci, le droit de visite sera suspendu. Le chiffre 1 du dispositif de l'ordonnance attaquée sera par conséquent annulé et il sera statué dans le sens de ce qui précède. Conformément aux conclusions prises par le Service de protection des mineurs dans son dernier rapport, la mise en place d'une thérapie père-fils auprès du E______ sera ordonnée. Les autres mesures ordonnées par le Tribunal de protection étant adéquates, l'ordonnance attaquée sera confirmée pour le surplus.</w:t>
      </w:r>
    </w:p>
    <w:p>
      <w:r>
        <w:rPr>
          <w:b/>
        </w:rPr>
        <w:t>E. 4</w:t>
      </w:r>
    </w:p>
    <w:p>
      <w:r>
        <w:t>La procédure, qui porte sur la question des relations personnelles, n'est pas gratuite (art. 19 LaCC; art. 67B du Règlement fixant le tarif des frais en matière civile). Les frais judiciaires seront fixés à 400 fr. et mis à la charge de B______. Ils seront compensés avec l'avance de frais versée par la recourante, qui reste acquise à l'Etat de Genève (art. 111 al. 1 CPC). B______ sera en conséquence</w:t>
      </w:r>
    </w:p>
    <w:p>
      <w:r>
        <w:t>- 11/13 -</w:t>
      </w:r>
    </w:p>
    <w:p>
      <w:r>
        <w:t>C/12877/2013-CS condamné à verser à la recourante la somme de 400 fr. à titre de remboursement de frais. Vu la nature de la cause, il ne sera pas alloué de dépens (art. 107 al. 1 let. c CPC). * * * * *</w:t>
      </w:r>
    </w:p>
    <w:p>
      <w:r>
        <w:t>- 12/13 -</w:t>
      </w:r>
    </w:p>
    <w:p>
      <w:r>
        <w:t>C/12877/2013-CS PAR CES MOTIFS, La Chambre de surveillance : A la forme : Déclare recevable le recours formé par A______ contre l'ordonnance DTAE/5945/2017 rendue le 3 novembre 2017 par le Tribunal de protection de l'adulte et de l'enfant dans la cause C/12877/2013-10.</w:t>
      </w:r>
    </w:p>
    <w:p>
      <w:r>
        <w:t>Au fond : Annule le chiffre 1 du dispositif de cette ordonnance. Cela fait et statuant à nouveau sur ce point : Réserve à B______ un droit de visite sur son fils C______, lequel devra s'exercer à raison d'un repas de midi par semaine, à fixer d'entente entre les parents, en fonction des disponibilités de B______ et de l'enfant, ainsi que d'une journée tous les quinze jours, soit le samedi, soit le dimanche, en alternance, sans les nuits. Subordonne toutefois la mise en œuvre et la poursuite de ce droit de visite au fait que B______ se soumette, tous les quinze jours, à des tests urinaires, dont les résultats devront être remis au curateur. Rend B______ attentif au fait qu'en cas de non-communication du résultat des tests ou en cas de résultat positif, son droit de visite sera suspendu. Ordonne la mise en place d'une thérapie père-fils auprès du E______. Confirme pour le surplus l'ordonnance attaquée. Déboute les parties de toutes autres conclusions. Sur les frais : Arrête les frais judiciaires de recours à 400 fr. et les compense avec l'avance de même montant versée par A______, qui reste acquise à l'Etat de Genève. Les met à la charge de B______.</w:t>
      </w:r>
    </w:p>
    <w:p>
      <w:r>
        <w:t>- 13/13 -</w:t>
      </w:r>
    </w:p>
    <w:p>
      <w:r>
        <w:t>C/12877/2013-CS Condamne en conséquence B______ à verser la somme de 400 fr. à A______, à titre de remboursement d'avance de frais. Siégeant : Madame Paola CAMPOMAGNANI, présidente; Monsieur Cédric-Laurent MICHEL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