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DAS/14/2023 vom 14. November 2022</w:t>
      </w:r>
    </w:p>
    <w:p>
      <w:r>
        <w:t>GE Cour de justice, 2022-11-14, FR</w:t>
      </w:r>
    </w:p>
    <w:p>
      <w:r>
        <w:rPr>
          <w:b/>
        </w:rPr>
        <w:t xml:space="preserve">Quelle: </w:t>
      </w:r>
      <w:r>
        <w:t>https://mcp.opencaselaw.ch/entscheid/ge_gerichte_DAS_14_2023</w:t>
      </w:r>
    </w:p>
    <w:p>
      <w:r>
        <w:t>FR: GE_GERICHTE DAS/14/2023 du 14 novembre 2022</w:t>
      </w:r>
    </w:p>
    <w:p>
      <w:r>
        <w:t>IT: GE_GERICHTE DAS/14/2023 del 14 novembre 2022</w:t>
      </w:r>
    </w:p>
    <w:p>
      <w:pPr>
        <w:pStyle w:val="Heading2"/>
      </w:pPr>
      <w:r>
        <w:t>Erwägungen</w:t>
      </w:r>
    </w:p>
    <w:p>
      <w:r>
        <w:rPr>
          <w:b/>
        </w:rPr>
        <w:t>E. 1</w:t>
      </w:r>
    </w:p>
    <w:p>
      <w:r>
        <w:t>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dix jours applicable aux recours formés contre des mesures provisionnelles et suivant la forme prescrite, le recours est recevable (art. 445 al. 3 et 450 al. 2 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septembre 2022, un droit de visite devant s’exercer, sur mesures provisionnelles, au sein du Point rencontre en prestation accueil, à raison d’une heure et demie par semaine durant le week-end. Dans ses observations du 15 décembre 2022 à la Chambre de céans, le même service a confirmé que tant que le mineur ne bénéficierait pas d’un suivi thérapeutique individuel régulier (qui n’a débuté qu’en janvier 2023 à raison d’une séance tous les quinze jours) et tant que les parents n’auraient pas entrepris la thérapie de guidance parentale</w:t>
      </w:r>
    </w:p>
    <w:p>
      <w:r>
        <w:t>- 10/11 -</w:t>
      </w:r>
    </w:p>
    <w:p>
      <w:r>
        <w:t>C/29712/2017-CS (encore «en cours d’élaboration» en décembre 2022), il ne paraissait pas opportun d’élargir le droit de visite du père. Il résulte de ce qui précède que les conditions permettant l’élargissement du droit de visite ne sont pas encore réunies en l’état. La décision attaquée a par ailleurs été rendue sur mesures provisionnelles, lesquelles sont destinées à être remplacées, en principe à relativement brève échéance, par une décision au fond. La situation actuelle ne justifie par conséquent pas de prévoir d’ores et déjà, sur mesures provisionnelles, d’élargir par paliers le droit de visite du père, lequel devra démontrer sur la durée qu’il est désormais en mesure de prendre en considération le bien-être de son enfant et d’ajuster son comportement en fonction de l’intérêt de ce dernier. Le chiffre 1 du dispositif de l’ordonnance attaquée sera par conséquent annulé et le droit de visite de C______ sera fixé à raison d’une heure et demie par semaine le samedi ou le dimanche, au sein du Point rencontre en prestation accueil, l’ordonnance attaquée demeurant inchangée pour le surplus.</w:t>
      </w:r>
    </w:p>
    <w:p>
      <w:r>
        <w:rPr>
          <w:b/>
        </w:rPr>
        <w:t>E. 2.2</w:t>
      </w:r>
    </w:p>
    <w:p>
      <w:r>
        <w:t>En l’espèce, l’enfant A______ évolue, depuis de nombreuses années, dans un climat extrêmement conflictuel généré par l’attitude de ses parents, étant</w:t>
      </w:r>
    </w:p>
    <w:p>
      <w:r>
        <w:t>- 9/11 -</w:t>
      </w:r>
    </w:p>
    <w:p>
      <w:r>
        <w:t>C/29712/2017-CS relevé qu’aucune décision ne semble avoir encore été rendue dans la procédure pénale initiée par la mère du mineur à l’encontre du père. Bien qu’aucun diagnostic psychiatrique n’ait été retenu s’agissant du père du mineur, les experts ont relevé des traits de personnalité paranoïaque, hystérique et narcissique et une incapacité à considérer les besoins de son fils comme indépendants des siens. Il a également été relevé que le père ne voyait pas la nécessité de poser un cadre et des règles éducatives à son enfant et qu’il dénigrait la mère devant ce dernier. L’attitude inadéquate du père a pu être concrètement observée lors de la visite, pourtant médiatisée, du 8 juillet 2022. C______ a certes tenté d’expliquer ses propos en affirmant que B______ avait dit à l’enfant ne pas vouloir qu’il dorme chez son père car celui-ci allait le taper; c’était par conséquent la mère qui alimentait le conflit. Il n’en demeure pas moins que quand bien même les propos de l’enfant ont pu contrarier C______, cela ne permet pas de justifier son attitude à l’égard du mineur, qualifiée de blessante et cruelle, ni les menaces de mort, au demeurant déjà proférées à d’autres occasions, à l’égard de la mère, en présence de A______. Il ressort en outre des observations du Service de protection des mineurs du 15 décembre 2022, que lors d’une rencontre du 25 novembre 2022 en présence de la curatrice, C______ a dit à l’enfant que sa mère était une menteuse. Ces attitudes inadéquates et répétées, en présence de tiers, attestent de l’incapacité de C______ de contrôler ses propos et de son indifférence face aux conséquences desdits propos sur son enfant, d’ores et déjà pris dans un conflit de loyauté. Dans la décision litigieuse, rendue sur mesures provisionnelles, le Tribunal de protection a non seulement fixé le droit de visite de C______, mais a également ordonné un certain nombre de mesures destinées à améliorer les capacités des deux parents. Ainsi, ceux-ci doivent entreprendre un suivi de guidance parentale et une thérapie individuelle. Lesdites mesures devraient notamment permettre à C______ de comprendre les besoins de son enfant et de contrôler ses propos en sa présence. Toutefois, pour que les thérapies ordonnées produisent des effets positifs, elles devront être suivies pendant un certain temps, période durant laquelle il y a lieu de protéger l’enfant des comportements potentiellement inadéquats de son père. Le Service de protection des mineurs est d’ailleurs parvenu à la même conclusion, puisqu’il a préconisé, dans son rapport du</w:t>
      </w:r>
    </w:p>
    <w:p>
      <w:r>
        <w:rPr>
          <w:b/>
        </w:rPr>
        <w:t>E. 3</w:t>
      </w:r>
    </w:p>
    <w:p>
      <w:r>
        <w:t>La procédure, qui porte sur la question des relations personnelles, n'est pas gratuite (art. 19 LaCC; art. 67A et 67B du Règlement fixant le tarif des frais en matière civile). Les frais judiciaires de la procédure de seconde instance seront arrêtés à 400 fr. et mis à la charge de C______, qui succombe (art. 106 al. 1 CPC). Celui-ci étant au bénéfice de l'assistance judiciaire, les frais judiciaires seront provisoirement supportés par l'Etat de Genève. L'avance de frais sera restituée au recourant, soit pour lui à sa représentante légale, B______. Il ne sera pas alloué de dépens (art. 107 al. 1 let. c CPC). * * * * *</w:t>
      </w:r>
    </w:p>
    <w:p>
      <w:r>
        <w:t>- 11/11 -</w:t>
      </w:r>
    </w:p>
    <w:p>
      <w:r>
        <w:t>C/29712/2017-CS PAR CES MOTIFS, La Chambre de surveillance : A la forme : Déclare recevable le recours formé par le mineur A______, représenté par sa mère, B______, contre l’ordonnance DTAE/7204/2022 rendue le 12 octobre 2022 par le Tribunal de protection de l’adulte et de l’enfant dans la cause C/29712/2017. Au fond : Annule le chiffre 1 du dispositif de ladite ordonnance et statuant à nouveau sur ce point: Réserve à C______ un droit de visite sur son fils A______, lequel devra s’exercer à raison d’une heure et demie par semaine le samedi ou le dimanche, au sein du Point rencontre, en prestation accueil. Dit que l’ordonnance attaquée demeure inchangée pour le surplus. Déboute les parties de toutes autres conclusions. Sur les frais : Arrête les frais judiciaires à 400 fr., les met à la charge de C______ et dit qu'ils sont provisoirement supportés par l'Etat de Genève. Invite les Services financiers du Palais de justice à restituer à A______, soit pour lui à B______, la somme de 400 fr.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