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DAS/147/2023 vom 19. Juni 2023</w:t>
      </w:r>
    </w:p>
    <w:p>
      <w:r>
        <w:t>GE Cour de justice, 2023-06-19, FR</w:t>
      </w:r>
    </w:p>
    <w:p>
      <w:r>
        <w:rPr>
          <w:b/>
        </w:rPr>
        <w:t xml:space="preserve">Quelle: </w:t>
      </w:r>
      <w:r>
        <w:t>https://mcp.opencaselaw.ch/entscheid/ge_gerichte_DAS_147_2023</w:t>
      </w:r>
    </w:p>
    <w:p>
      <w:r>
        <w:t>FR: GE_GERICHTE DAS/147/2023 du 19 juin 2023</w:t>
      </w:r>
    </w:p>
    <w:p>
      <w:r>
        <w:t>IT: GE_GERICHTE DAS/147/2023 del 19 giugno 2023</w:t>
      </w:r>
    </w:p>
    <w:p>
      <w:pPr>
        <w:pStyle w:val="Heading2"/>
      </w:pPr>
      <w:r>
        <w:t>Erwägungen</w:t>
      </w:r>
    </w:p>
    <w:p>
      <w:r>
        <w:rPr>
          <w:b/>
        </w:rPr>
        <w:t>E. 31</w:t>
      </w:r>
    </w:p>
    <w:p>
      <w:r>
        <w:t>octobre 2022; Que si ce retard aurait pu justifier un recours pour déni de justice, il ne signifie pas encore que le recourant peut obtenir ses conclusions au fond par anticipation par le biais de mesures d'urgence, dont les conditions ne sont pas réalisées; Que quoiqu'il en soit, son recours sera tranché dans un délai raisonnable après instruction par la Cour; Que la question des frais relatifs à la procédure sera renvoyée à la décision au fond (art. 104 al. 3 CPC). * * * * *</w:t>
      </w:r>
    </w:p>
    <w:p>
      <w:r>
        <w:t>- 4/4 -</w:t>
      </w:r>
    </w:p>
    <w:p>
      <w:r>
        <w:t>C/13461/2013-CS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