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DAS/147/2020 vom 20. Juli 2009</w:t>
      </w:r>
    </w:p>
    <w:p>
      <w:r>
        <w:t>GE Cour de justice, 2009-07-20, FR</w:t>
      </w:r>
    </w:p>
    <w:p>
      <w:r>
        <w:rPr>
          <w:b/>
        </w:rPr>
        <w:t xml:space="preserve">Quelle: </w:t>
      </w:r>
      <w:r>
        <w:t>https://mcp.opencaselaw.ch/entscheid/ge_gerichte_DAS_147_2020</w:t>
      </w:r>
    </w:p>
    <w:p>
      <w:r>
        <w:t>FR: GE_GERICHTE DAS/147/2020 du 20 juillet 2009</w:t>
      </w:r>
    </w:p>
    <w:p>
      <w:r>
        <w:t>IT: GE_GERICHTE DAS/147/2020 del 20 luglio 2009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t>- 6/9 -</w:t>
      </w:r>
    </w:p>
    <w:p>
      <w:r>
        <w:t>C/17221/2004-CS En l'espèce, le recours a été formé dans le délai utile de dix jours, par la personne concernée par la mesure et devant l'autorité compétente (art. 72 al. 1 LaCC). Il est donc recevable à la forme.</w:t>
      </w:r>
    </w:p>
    <w:p>
      <w:r>
        <w:rPr>
          <w:b/>
        </w:rPr>
        <w:t>E. 2</w:t>
      </w:r>
    </w:p>
    <w:p>
      <w:r>
        <w:t>2.1.1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t>- 7/9 -</w:t>
      </w:r>
    </w:p>
    <w:p>
      <w:r>
        <w:t>C/17221/2004-CS 2.1.2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 2.2.1 En l'espèce, il ressort du dossier que la recourante souffre, depuis de nombreuses années, de troubles psychiatriques sérieux, lesquels ont déjà nécessité plusieurs hospitalisations contre son gré. Aucun élément objectif ne permet de remettre en cause les diagnostics posés par les experts dans le cadre des expertises auxquelles la recourante a été soumise. La recourante s'est opposée à la décision de placement à la Clinique B______ prise le 22 août 2020 et a conclu à la levée de la mesure. Il appert toutefois que la recourante a été conduite aux Services des urgences des HUG par la police, le 22 août 2020, après avoir menacé de bouter le feu à un infirmier et s'être rendue coupable, ce qu'elle ne conteste pas, de dommages à la propriété. Elle était tendue, son discours était délirant et elle était en rupture de traitement. Au vu de ce qui précède, c'est à juste titre que l'hospitalisation non volontaire de la recourante a été ordonnée, dans la mesure où son état nécessitait des soins qu'elle ne suivait pas en ambulatoire et où elle présentait un risque hétéro-agressif marqué, puisqu'elle était déjà passée à l'acte, tout en estimant qu'elle était légitimée à le faire selon sa conception délirante de la réalité. Il ressort par ailleurs des explications fournies par le Dr G______, entendu devant le Tribunal de protection le 1er septembre 2020, qu'en dépit des traitements administrés, la recourante était toujours décompensée, raison pour laquelle une injection de F______ était envisagée, ledit médicament ayant produit des effets positifs par le passé. Selon le Dr G______, la patiente n'était pas en mesure de gérer son traitement et il existait un risque de passage à l'acte hétéro-agressif. Or, aucun élément concret ne permet de retenir, à ce jour, que l'état de la recourante se serait suffisamment amélioré depuis lors, de manière à permettre une levée de la mesure. Bien au contraire, la recourante continue d'être totalement anosognosique de son état et persiste à se considérer comme une victime des diverses institutions auxquelles elle a eu affaire, estimant par conséquent être en droit de se défendre, le cas échéant en faisant usage de violence. Pour l'instant, la recourante ne remet pas en cause ses actes, qu'elle semble incapable d'analyser de manière objective, mais qu'elle considère au contraire justifiés en raison des prétendues violences dont elle se prétend la victime. Il sera par conséquent retenu que l'état de la recourante n'est pas encore stabilisé et que si la mesure devait être levée, elle présenterait à nouveau un risque hétéro-agressif. Il est au demeurant illusoire</w:t>
      </w:r>
    </w:p>
    <w:p>
      <w:r>
        <w:t>- 8/9 -</w:t>
      </w:r>
    </w:p>
    <w:p>
      <w:r>
        <w:t>C/17221/2004-CS d'espérer qu'une fois la mesure levée elle se fasse suivre volontairement par un psychiatre et prenne des médicaments, compte tenu du fait qu'elle considère ne nécessiter aucun traitement, ses problèmes étant, selon elle, exclusivement de nature juridique et non médicale. Il est par ailleurs établi qu'après avoir quitté la Clinique B______ le 7 août dernier et alors qu'elle s'était engagée à mettre en œuvre un suivi ambulatoire et à poursuivre le traitement initié, la recourante a quitté la Suisse pour des vacances à l'étranger et n'a, prétendument, pas eu le temps de passer à la pharmacie. L'absence totale de traitement a conduit à une nouvelle hospitalisation non volontaire décidée le 22 août 2020. Au vu de ce qui précède, il y a par conséquent lieu d'admettre que la mesure se justifie encore à ce jour, le traitement en cours ne pouvant être administré dans un cadre ambulatoire. Le recours, en tant qu'il porte sur le prononcé de la mesure de placement et son maintien, est dès lors infondé. 2.2.2 Son recours est également infondé en ce qui concerne le traitement administré à la recourante contre son gré. La recourante a certes expliqué prendre actuellement du F______ per os et recevoir, une fois par mois, une injection de cette même substance. Ces informations n'ont toutefois pas pu être confirmées par le médecin de la Clinique B______ convoqué à l'audience de la Chambre de surveillance, la recourante s'étant opposée à son audition. Or, si l'on s'en tient aux informations fournies par le Dr G______ devant le Tribunal de protection, l'injection de F______ était seulement envisagée au début du mois de septembre, mais la recourante y était opposée. Ainsi, de deux choses l'une: soit depuis lors la recourante a changé d'avis et a fini par accepter le traitement proposé, auquel cas son recours devient sans objet sur ce point, soit elle a persisté à refuser ladite injection, ce qui entre en contradiction avec les déclaration qu'elle a faites devant le juge délégué de la Chambre de surveillance. Quoiqu'il en soit, il appert qu'après plusieurs semaines d'hospitalisation l'état de la recourante n'est pas encore stabilisé, de sorte que le traitement, tel qu'envisagé par l'équipe médicale, apparaît nécessaire et qu'il pourra être administré à la recourante le cas échéant contre son gré, aucune mesure moins incisive ne pouvant être envisagée. Pour le surplus, il n'appartient pas à la Chambre de surveillance, qui ne dispose pas des connaissances nécessaires, de déterminer la substance devant être administrée à la recourante. Seule l'équipe médicale est habilitée à décider, en fonction de l'état de la patiente, quel principe actif doit être utilisé.</w:t>
      </w:r>
    </w:p>
    <w:p>
      <w:r>
        <w:rPr>
          <w:b/>
        </w:rPr>
        <w:t>E. 3</w:t>
      </w:r>
    </w:p>
    <w:p>
      <w:r>
        <w:t>La procédure est gratuite (art. 22 al. 4 LaCC). * * * * *</w:t>
      </w:r>
    </w:p>
    <w:p>
      <w:r>
        <w:t>- 9/9 -</w:t>
      </w:r>
    </w:p>
    <w:p>
      <w:r>
        <w:t>C/17221/2004-CS PAR CES MOTIFS, La Chambre de surveillance : A la forme : Déclare recevable le recours interjeté le 11 septembre 2020 par A______ contre l'ordonnance DTAE/4915/2020 rendue le 1er septembre 2020 par le Tribunal de protection de l'adulte et de l'enfant dans la cause C/17221/2004. Au fond : Le rejette. Sur les frais : Dit que la procédure est gratuite. Siégeant : Monsieur Cédric-Laurent MICHEL, président; Madame Paola CAMPOMAGNANI et Madame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