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DAS/144/2013 vom 28. März 2013</w:t>
      </w:r>
    </w:p>
    <w:p>
      <w:r>
        <w:t>GE Cour de justice, 2013-03-28, FR</w:t>
      </w:r>
    </w:p>
    <w:p>
      <w:r>
        <w:rPr>
          <w:b/>
        </w:rPr>
        <w:t xml:space="preserve">Quelle: </w:t>
      </w:r>
      <w:r>
        <w:t>https://mcp.opencaselaw.ch/entscheid/ge_gerichte_DAS_144_2013</w:t>
      </w:r>
    </w:p>
    <w:p>
      <w:r>
        <w:t>FR: GE_GERICHTE DAS/144/2013 du 28 mars 2013</w:t>
      </w:r>
    </w:p>
    <w:p>
      <w:r>
        <w:t>IT: GE_GERICHTE DAS/144/2013 del 28 marzo 2013</w:t>
      </w:r>
    </w:p>
    <w:p>
      <w:pPr>
        <w:pStyle w:val="Heading2"/>
      </w:pPr>
      <w:r>
        <w:t>Erwägungen</w:t>
      </w:r>
    </w:p>
    <w:p>
      <w:r>
        <w:rPr>
          <w:b/>
        </w:rPr>
        <w:t>E. 1.1</w:t>
      </w:r>
    </w:p>
    <w:p>
      <w:r>
        <w:t>Les nouvelles dispositions sur les mesures prises par l'autorité dans le domaine de la protection de l'adulte et de l'enfant, introduites par la révision du</w:t>
      </w:r>
    </w:p>
    <w:p>
      <w:r>
        <w:t>- 5/11 -</w:t>
      </w:r>
    </w:p>
    <w:p>
      <w:r>
        <w:t>C/10286/2012-CS 19 décembre 2008 et d'application immédiate (art. 14 T. final CC), sont entrées en force le 1er janvier 2013. Il en est de même des dispositions d'exécution cantonales y relatives.</w:t>
      </w:r>
    </w:p>
    <w:p>
      <w:r>
        <w:t>En l'espèce, la décision querellée a été rendue après le 1er janvier 2013, de sorte que le nouveau droit est applicable.</w:t>
      </w:r>
    </w:p>
    <w:p>
      <w:r>
        <w:rPr>
          <w:b/>
        </w:rPr>
        <w:t>E. 1.2</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 art. 126 al. 3 LOJ).</w:t>
      </w:r>
    </w:p>
    <w:p>
      <w:r>
        <w:t>Interjeté par une partie à la procédure, dans le délai utile et suivant la forme prescrite, le recours est recevable.</w:t>
      </w:r>
    </w:p>
    <w:p>
      <w:r>
        <w:rPr>
          <w:b/>
        </w:rPr>
        <w:t>E. 1.3</w:t>
      </w:r>
    </w:p>
    <w:p>
      <w:r>
        <w:t>Le recours peut être formé pour violation du droit, constatation fausse ou incomplète des faits pertinents et inopportunité de la décision (art. 450a al. 1 CC).</w:t>
      </w:r>
    </w:p>
    <w:p>
      <w:r>
        <w:rPr>
          <w:b/>
        </w:rPr>
        <w:t>E. 2</w:t>
      </w:r>
    </w:p>
    <w:p>
      <w:r>
        <w:t>Le recourant estime que certaines activités de la représentante légale ne sont pas de nature juridique et pourraient être effectuées par une secrétaire expérimentée au tarif de 200 fr./l'heure. Il en est ainsi par exemple des communications aux banques, comptable, assurances, EMS et administrations, de l'annonce du décès de son père ou de l'inventaire des biens. Il met également en doute le tarif horaire appliqué, indiquant ne pas avoir trouvé ces tarifs "validés" à disposition du public.</w:t>
      </w:r>
    </w:p>
    <w:p>
      <w:r>
        <w:rPr>
          <w:b/>
        </w:rPr>
        <w:t>E. 2.1</w:t>
      </w:r>
    </w:p>
    <w:p>
      <w:r>
        <w:t>Selon l'art. 416 aCC, applicable jusqu'au 31 décembre 2012, et l'art. 404 CC, applicable dès le 1er janvier 2013, le tuteur/curateur a droit à une rémunération devant être prélevée sur les biens du pupille.</w:t>
      </w:r>
    </w:p>
    <w:p>
      <w:r>
        <w:rPr>
          <w:b/>
        </w:rPr>
        <w:t>E. 2.2</w:t>
      </w:r>
    </w:p>
    <w:p>
      <w:r>
        <w:t>Le 6 mars 2013 est entré en vigueur le règlement fixant la rémunération des curateurs (RRC – E 1 05.15; art. 90 LaCC). La rémunération du curateur privé professionnel est fixée, pour un avocat chef d'étude, à 200 fr. pour la gestion courante et de 200 fr. à 450 fr. pour l'activité juridique (art. 9 al. 2 RRC). Selon les circonstances, le tribunal peut néanmoins appliquer un autre tarif (art. 9 al. 3 RRC). La rémunération est appréciée et définitivement arrêtée par le tribunal sur la base d’un décompte détaillé qui précise la nature de l'activité déployée et le temps consacré (art. 9 al. 4 RRC). Pour les mandats en cours, les anciennes règles de rémunération restent applicables pour l'activité déployée par le curateur jusqu'à la date d'entrée en vigueur du règlement précité (art. 13 RRC).</w:t>
      </w:r>
    </w:p>
    <w:p>
      <w:r>
        <w:rPr>
          <w:b/>
        </w:rPr>
        <w:t>E. 2.3</w:t>
      </w:r>
    </w:p>
    <w:p>
      <w:r>
        <w:t>Avant l'entrée en vigueur de ce règlement, la loi ne précisait pas comment devait être fixée la rémunération du tuteur, respectivement du curateur. Lorsque le tuteur - ou le curateur - fournissait des services propres à son activité professionnelle, il avait droit à une rémunération particulière, fixée en principe sur</w:t>
      </w:r>
    </w:p>
    <w:p>
      <w:r>
        <w:t>- 6/11 -</w:t>
      </w:r>
    </w:p>
    <w:p>
      <w:r>
        <w:t>C/10286/2012-CS la base du tarif professionnel reconnu. En revanche, une telle rémunération ne se justifiait pas pour d'autres prestations, auxquelles devaient être appliqués les barèmes habituels pour des mandats tutélaires (arrêt du Tribunal fédéral 5P.309/2002 du 3 décembre 2002, in RdT 2003 p. 135; SJ 1991 p. 105). L'autorité tutélaire conservait cependant un certain pouvoir d'appréciation, lui permettant - selon les circonstances - notamment en fonction de la situation économique du pupille - de réduire l'indemnité qui serait due selon le tarif, voire de s'écarter de ce dernier (ATF 116 II 399 consid. 4b; arrêt du Tribunal fédéral 5A_319/2008 du 23 juin 2008 consid. 4.1). La rémunération devait aussi tenir compte des difficultés rencontrées par le tuteur, respectivement le curateur, dans l'exécution de sa mission (GEISER, in Commentaire bâlois, 4ème éd., 2010, n. 11 et 12 ad art. 416 aCC; BIEBERBOST, in Commentaire bâlois, op. cit., n. 39 ad art. 417 aCC). Un tarif horaire de 350 fr. sur la place de Genève a été qualifié de modéré dans le cas d'un pupille fortuné et compte tenu des difficultés rencontrées par le curateur dans l'exécution de son mandat (arrêt du Tribunal fédéral 5A_319/2008 précité consid. 4.2).</w:t>
      </w:r>
    </w:p>
    <w:p>
      <w:r>
        <w:t>A Genève, les tarifs étaient fixés selon les Directives adoptées en plenum par le Tribunal arrêtant les honoraires des avocats pour l'activité de gestion à 150 fr. jusqu'en septembre 2011, puis, à la suite d'une décision du plenum du</w:t>
      </w:r>
    </w:p>
    <w:p>
      <w:r>
        <w:rPr>
          <w:b/>
        </w:rPr>
        <w:t>E. 2.4</w:t>
      </w:r>
    </w:p>
    <w:p>
      <w:r>
        <w:t>En l'espèce, l'activité s'étant déroulée en 2012, le montant des honoraires doit être arrêté selon les règles en vigueur jusqu'au 31 décembre 2012. Le Tribunal a arrêté les honoraires de la représentante légale à 18'137 fr. 50, soit</w:t>
      </w:r>
    </w:p>
    <w:p>
      <w:r>
        <w:rPr>
          <w:b/>
        </w:rPr>
        <w:t>E. 2.5</w:t>
      </w:r>
    </w:p>
    <w:p>
      <w:r>
        <w:t>Par ailleurs, il y a lieu de déterminer si les activités litigieuses relèvent d'une activité de gestion, plutôt que juridique.</w:t>
      </w:r>
    </w:p>
    <w:p>
      <w:r>
        <w:t>- 7/11 -</w:t>
      </w:r>
    </w:p>
    <w:p>
      <w:r>
        <w:t>C/10286/2012-CS L'audience qui a eu lieu devant la Chambre de surveillance, à la suite du recours interjeté par la fille du pupille contre la décision de nomination d'un représentant légal externe à la famille, ne peut être considérée comme une activité d'avocat par laquelle la représentante légale a défendu les intérêts de son pupille. En effet, par cette activité, la représentante légale défendait en réalité sa propre nomination en cette qualité. Par conséquent, cette activité ne nécessite pas des connaissances juridiques spécialisées et le tarif horaire de 200 fr. sera retenu pour ce poste. De même l'audience du 2 octobre 2012 devant le Tribunal, lors de laquelle ont été entendus le médecin traitant et les enfants du pupille, ne nécessitaient pas de connaissances juridiques spécialisées, la mandataire tutélaire y assistant en sa qualité de représentante du pupille. Le tarif de 200 fr./l'heure doit donc également être retenu pour le temps y consacré.</w:t>
      </w:r>
    </w:p>
    <w:p>
      <w:r>
        <w:t>Toutes les correspondances avec les banques, les enfants du pupille et leur conseil, le comptable, la Fondation des services d'aide et de soins à domicile (FSASD), l'Administration fiscale cantonale, l'EMS, le dénonciateur, le médecin traitant du pupille, les HUG, les différents intervenants à la suite du décès du pupille et le Tribunal tutélaire n'exigent pas des compétences professionnelles d'avocat, mais relèvent de la gestion administrative liée au patrimoine du défunt et des démarches devant être entreprises à ce sujet. Il y a donc lieu d'appliquer un tarif horaire de 200 fr. pour ces activités.</w:t>
      </w:r>
    </w:p>
    <w:p>
      <w:r>
        <w:t>La consultation du dossier au Tribunal, l'étude du dossier remis par le fils du pupille et les recherches juridiques liées à la propriété de la Bibliothèque hongroise seront considérées comme des activités juridiques rémunérées au tarif horaire de 300 fr. En revanche, les activités liées au recours devant la Chambre de surveillance en lien avec le mandat de la représentante légale, ainsi que l'examen de la déclaration fiscale 2011 constituent des activités de gestion courante, pour lesquelles le tarif de 200 fr. sera retenu. L'établissement de l'inventaire des biens du pupille, la rédaction des observations à la Chambre de surveillance, du bordereau et du rapport final entrent également dans la gestion courante et ne requièrent pas des connaissances juridiques spécialisées. Le tarif horaire de 200 fr. doit donc être appliqué.</w:t>
      </w:r>
    </w:p>
    <w:p>
      <w:r>
        <w:t>Il en va de même des entretiens avec la famille du pupille et leur conseil, le comptable, la vacation au domicile du pupille avec un huissier judiciaire (visant à dresser un constat des cartons de livres de la Bibliothèque hongroise), ainsi que des entretiens téléphoniques avec les banques, l'huissier judiciaire, les assurances, l'EMS, le dénonçant et la bibliothèque de Genève. Le tarif de 200 fr. doit donc être appliqué pour tout le temps consacré aux entretiens et aux téléphones.</w:t>
      </w:r>
    </w:p>
    <w:p>
      <w:r>
        <w:t>La représentante légale n'explique d'ailleurs pas que ces activités nécessiteraient des connaissances juridiques particulières en l'espèce. Elle ne soutient pas non</w:t>
      </w:r>
    </w:p>
    <w:p>
      <w:r>
        <w:t>- 8/11 -</w:t>
      </w:r>
    </w:p>
    <w:p>
      <w:r>
        <w:t>C/10286/2012-CS plus que la complexité de l'affaire justifierait de considérer les prestations litigieuses comme ressortant d'une activité juridique.</w:t>
      </w:r>
    </w:p>
    <w:p>
      <w:r>
        <w:t>Au vu de ce qui précède, il y a lieu de réduire le montant des honoraires à 39 heures et 35 minutes de gestion courante à 200 fr./l'heure (= 7'916 fr. 70) et à 3 heures et 45 minutes d'activités juridiques à 300 fr./l'heure (= 1'125 fr.), soit 9'041 fr. 70 au total, toutes taxes éventuelles incluses. Ce montant correspond à une rémunération moyenne de l'ordre de 2'260 fr. par mois, qui apparaît adéquate compte tenu de l'activité déployée et de la fortune du pupille.</w:t>
      </w:r>
    </w:p>
    <w:p>
      <w:r>
        <w:t>La décision querellée doit donc être annulée, en tant qu'elle arrête le montant des honoraires de la représentante légale à 18'137 fr. 50, et ceux-ci fixés à 9'041 fr. 70. Pour le surplus, dans la décision querellée, le Tribunal a relevé la représentante légale de ses fonctions, de sorte que le dossier tutélaire est clos. 3. Le recourant conteste l'émolument de contrôle du Tribunal fixé à 8'562 fr. Il se demande en outre si cet émolument, fixé en fonction de la fortune de son père, ne constitue pas un impôt sur les successions plutôt qu'un émolument.</w:t>
      </w:r>
    </w:p>
    <w:p>
      <w:r>
        <w:t>3.1. Selon l'art. 423 aCC, en vigueur jusqu'au 31 décembre 2012 (art. 415 al. 1 nCC), l'autorité de tutelle examine les rapport et comptes périodiques du tuteur, tous les deux ans au moins (art. 413 al. 2 aCC et 411 al. 1 nCC).</w:t>
      </w:r>
    </w:p>
    <w:p>
      <w:r>
        <w:t>Selon l'art. 53 RTFMC, demeuré inchangé avec l'entrée en vigueur du nouveau droit de la protection de l'adulte, l'émolument forfaitaire de décision pour l'examen des comptes de tutelle, de conseil légal ou de curatelle est fixé à 100 fr., majoré d'un émolument complémentaire égal à 2‰ de la valeur nette de la fortune si elle dépasse 50'000 fr. et de 3‰ si elle dépasse 300'000 fr.</w:t>
      </w:r>
    </w:p>
    <w:p>
      <w:r>
        <w:t>3.2. En l'espèce, le Tribunal a calculé l'émolument de contrôle sur la base de la fortune du pupille, conformément à l'art. 53 RTFMC. Cela étant, dans la mesure où l'examen des comptes n'a porté que sur une période de quatre mois, et non de deux ans, l'émolument calculé selon l'art. 53 RTFMC doit être réduit proportionnellement.</w:t>
      </w:r>
    </w:p>
    <w:p>
      <w:r>
        <w:t>Par conséquent, la "décision" du Tribunal fixant l'émolument de contrôle à 8'562 fr. est annulée, et l'émolument de contrôle réduit à 1'500 fr. 4. La procédure n'est pas gratuite (art. 19 al. 1 LaCC). Les frais judiciaires du recours sont fixés à 300 fr. (art. 67A et 67B RTFMC) et laissés à la charge de l'Etat, le recourant obtenant gain de cause dans une large mesure. L'Etat de Genève, soit pour lui les Services financiers du Pouvoir judiciaire, sera invité à restituer au recourant l'avance de frais de 300 fr. qu'il a effectuée.</w:t>
      </w:r>
    </w:p>
    <w:p>
      <w:r>
        <w:t>- 9/11 -</w:t>
      </w:r>
    </w:p>
    <w:p>
      <w:r>
        <w:t>C/10286/2012-CS Il n'y a pas lieu d'allouer des dépens, le recourant comparant en personne. * * * * *</w:t>
      </w:r>
    </w:p>
    <w:p>
      <w:r>
        <w:t>- 10/11 -</w:t>
      </w:r>
    </w:p>
    <w:p>
      <w:r>
        <w:t>C/10286/2012-CS PAR CES MOTIFS, La Chambre de surveillance : A la forme : Déclare recevable le recours interjeté par A______ contre la décision CTAE/26/2013 rendue le 28 mars 2013 par le Tribunal de protection de l'adulte et de l'enfant dans la cause C/10286/2012-4 et contre la décision fixant l'émolument de contrôle du Tribunal. Au fond : Annule ces décisions, en tant qu'elles fixent le montant des honoraires de Me B______ et l'émolument de contrôle du Tribunal. Confirme la décision CTAE/26/2013 pour le surplus, en tant qu'elle approuve les rapport et comptes finaux de Me B______ et qu'elle la relève de ses fonctions. Arrête les honoraires de Me B______ à 9'041 fr. 70. Fixe l'émolument de contrôle du Tribunal à 1'500 fr. et invite les Services financiers du Pouvoir judiciaire à établir une nouvelle facture en conséquence. Déboute les parties de toutes autres conclusions. Sur les frais : Arrête les frais judiciaires du présent recours à 300 fr. et les laisse à la charge de l'Etat. Invite l'Etat de Genève, soit pour lui les Services financiers du Pouvoir judiciaire, à restituer à A______ l'avance de frais de 300 fr. qu'il a effectuée. Dit qu'il n'est pas alloué de dépens. Siégeant : Madame Marguerite JACOT-DES-COMBES, présidente; Madame Daniela CHIABUDINI et Monsieur Cédric-Laurent MICHEL, juges; Madame Carmen FRAGA, greffière.</w:t>
      </w:r>
    </w:p>
    <w:p>
      <w:r>
        <w:t>Indication des voies de recours :</w:t>
      </w:r>
    </w:p>
    <w:p>
      <w:r>
        <w:t>- 11/11 -</w:t>
      </w:r>
    </w:p>
    <w:p>
      <w:r>
        <w:t>C/10286/2012-CS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r>
        <w:rPr>
          <w:b/>
        </w:rPr>
        <w:t>E. 6</w:t>
      </w:r>
    </w:p>
    <w:p>
      <w:r>
        <w:t>heures et 15 minutes de gestion courante à 200 fr./l'heure et 37 heures et 5 minutes pour les activités juridiques à 450 fr./l'heure. Compte tenu de ce qui précède (consid. 2.3), le tarif de 200 fr. pour la gestion courante sera confirmé. En revanche, le tarif de 450 fr. pour les activités juridiques, qui correspond au tarif le plus élevé applicable selon le RRC et qui est supérieur au tarif considéré comme modéré selon la jurisprudence du Tribunal fédéral, apparaît excessif dans le cas particulier, même s'il est aligné sur le tarif applicable selon les Directives pour la fortune considérée. En effet, la seule fortune du pupille, d'environ 2'900'000 fr., composée en majeure partie d'un bien immobilier, ne justifie pas d'appliquer ce tarif, dans la mesure où la représentante légale n'a en définitive pas eu à gérer ce patrimoine. Compte tenu de la nature de l'activité déployée par la représentante légale et de la faible complexité de la cause, un tarif de 300 fr. apparaît adéquat.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