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DAS/142/2023 vom 20. Juni 2023</w:t>
      </w:r>
    </w:p>
    <w:p>
      <w:r>
        <w:t>GE Cour de justice, 2023-06-20, FR</w:t>
      </w:r>
    </w:p>
    <w:p>
      <w:r>
        <w:rPr>
          <w:b/>
        </w:rPr>
        <w:t xml:space="preserve">Quelle: </w:t>
      </w:r>
      <w:r>
        <w:t>https://mcp.opencaselaw.ch/entscheid/ge_gerichte_DAS_142_2023</w:t>
      </w:r>
    </w:p>
    <w:p>
      <w:r>
        <w:t>FR: GE_GERICHTE DAS/142/2023 du 20 juin 2023</w:t>
      </w:r>
    </w:p>
    <w:p>
      <w:r>
        <w:t>IT: GE_GERICHTE DAS/142/2023 del 20 giugno 2023</w:t>
      </w:r>
    </w:p>
    <w:p>
      <w:pPr>
        <w:pStyle w:val="Heading2"/>
      </w:pPr>
      <w:r>
        <w:t>Erwägungen</w:t>
      </w:r>
    </w:p>
    <w:p>
      <w:r>
        <w:rPr>
          <w:b/>
        </w:rPr>
        <w:t>E. 1.1</w:t>
      </w:r>
    </w:p>
    <w:p>
      <w:r>
        <w:t>Les décisions de l’autorité de protection peuvent faire l’objet d’un recours (art. 450 al. 1 CC) dans les trente jours à compter de leur notification (art. 450b CC), auprès de la Chambre de surveillance de la Cour de justice (art. 53 al. 1 LaCC). En vertu de l'art. 450 al. 2 CC, ont qualité pour recourir les personnes parties à la procédure (ch. 1), les proches de la personne concernée (ch. 2) et les personnes qui ont un intérêt juridique à l'annulation ou à la modification de la décision attaquée (ch. 3).</w:t>
      </w:r>
    </w:p>
    <w:p>
      <w:r>
        <w:t>- 4/6 -</w:t>
      </w:r>
    </w:p>
    <w:p>
      <w:r>
        <w:t>C/343/2022-CS Le recours doit être dûment motivé et interjeté par écrit auprès du juge (art. 450 al. 3 CC).</w:t>
      </w:r>
    </w:p>
    <w:p>
      <w:r>
        <w:rPr>
          <w:b/>
        </w:rPr>
        <w:t>E. 1.2</w:t>
      </w:r>
    </w:p>
    <w:p>
      <w:r>
        <w:t>En l’espèce, le recours a été interjeté dans le délai et la forme utiles, par un proche de la personne concernée, de sorte qu’il est recevable. Sa motivation est suffisante.</w:t>
      </w:r>
    </w:p>
    <w:p>
      <w:r>
        <w:rPr>
          <w:b/>
        </w:rPr>
        <w:t>E. 2</w:t>
      </w:r>
    </w:p>
    <w:p>
      <w:r>
        <w:t>Le recourant reproche au Tribunal de protection de ne pas avoir instauré une mesure de protection en faveur de B______, alors que les conditions en étaient réalisées, et d’avoir classé la procédure. 2.1.1 Les mesures prises par l'autorité de protection garantissent l'assistance et la protection de la personne qui a besoin d'aide (art. 388 al. 1 CC). Elles préservent et favorisent autant que possible leur autonomie (art. 388 al. 2 CC). A teneur de l'art. 389 al. 1 ch. 1 CC, l'autorité de protection de l'adulte ordonne une mesure de protection lorsque l'appui fourni à la personne ayant besoin d'aide par les membres de sa famille, par d'autres proches ou par des services privés ou publics ne suffit pas ou semble a priori insuffisant. Cette disposition exprime le principe de la subsidiarité (art. 389 al. 1 ch. 1 CC). Une mesure de protection de l'adulte n'est ordonnée par l'autorité que si elle est nécessaire et appropriée (art. 389 al. 2 CC). L’art. 389 al. 1 CC exprime le principe de la subsidiarité. Cela signifie que lorsqu’elle reçoit un avis de mise en danger, l’autorité doit procéder à une instruction complète et différenciée lui permettant de déterminer si une mesure s’impose et, dans l’affirmative, quelle mesure en particulier (HÄFELI, CommFam Protection de l’adulte, ad art. 89 CC, n. 10 et 11). Selon l’art. 390 CC,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 2.1.2 L'autorité de protection de l'adulte procède à la recherche et à l'administration des preuves nécessaires. Elle ordonne si nécessaire un rapport d'expertise (art. 446 al. 2 CC). Les démarches de l'autorité dans l'établissement des faits selon l'art. 446 al. 1 et 2 CC s'opèrent d'office et ne sont pas liées à une requête des parties à la procédure (ATF 130 I 180). L'autorité est tenue d'entreprendre toutes les démarches nécessaires et appropriées pour établir les faits juridiquement relevants sans égard à leur coût ou à sa charge de travail. Comme pour l'art. 168 al. 2 CPC, le principe est celui de la libre</w:t>
      </w:r>
    </w:p>
    <w:p>
      <w:r>
        <w:t>- 5/6 -</w:t>
      </w:r>
    </w:p>
    <w:p>
      <w:r>
        <w:t>C/343/2022-CS appréciation des preuves en vertu duquel l'autorité n'est liée par aucune moyen de preuve en particulier (arrêt du Tribunal fédéral 5A_42/2009 consid. 3).</w:t>
      </w:r>
    </w:p>
    <w:p>
      <w:r>
        <w:rPr>
          <w:b/>
        </w:rPr>
        <w:t>E. 2.2</w:t>
      </w:r>
    </w:p>
    <w:p>
      <w:r>
        <w:t>En l'espèce, comme l'a relevé le Tribunal de protection, il ressort des éléments recueillis par lui que l'intéressée présente, outre un trouble moteur sévère, des troubles cognitifs de type mnésique et exécutif, notamment sous la forme de problèmes de mémoire, qui ont pour conséquence qu'elle éprouve des difficultés à assumer seule la gestion de ses affaires administratives, financières et juridiques et qu'elle est totalement incapable d'accomplir seule les actes de la vie quotidienne. Ces constatations ont été confirmées et renforcées dans le cadre de la procédure de recours tant par le médecin neurologue traitant la personne concernée, que par le curateur d'office ayant conclu à l'instauration d'une mesure de protection, en considérant que celle-ci était totalement dépendante et incapable de gérer ses affaires. Ce nonobstant, et en application du principe de subsidiarité, le Tribunal de protection a considéré que B______ pouvait compter sur la présence de nombreux intervenants et proches qui sont en mesure de pallier ses propres difficultés et qui assurent ainsi la sauvegarde de ses intérêts dans tous les domaines concernés. Certes, il existe un réseau de soutien autour de l'intéressée. Cela étant, les interventions tout à fait ponctuelles des membres de la parenté et d'amis, voire de G______, auprès d'elle ne suffisent manifestement pas à une personne dépendante pour tous ses gestes quotidiens et incapable de comprendre ou de signer. Il est vrai que l'intéressée dispose d'une dame de compagnie, qui l'assiste plus régulièrement. Il n'en demeure pas moins qu'on ne sait rien de cette personne et que son activité sans doute essentielle ne peut pallier la présence formalisée d'un tiers soumis au contrôle de l'autorité dans le cadre de la gestion administrative et financière de ses affaires. Si la présence de la dame de compagnie est essentielle au quotidien et pour les questions de soins, la totale dépendance de B______ de celle-ci, également en matière administrative et financière, est susceptible de léser ses intérêts. Une mesure de protection doit dès lors être prononcée. Le recours est admis et la cause renvoyée au Tribunal de protection pour détermination du périmètre de la mesure et désignation du curateur.</w:t>
      </w:r>
    </w:p>
    <w:p>
      <w:r>
        <w:rPr>
          <w:b/>
        </w:rPr>
        <w:t>E. 3</w:t>
      </w:r>
    </w:p>
    <w:p>
      <w:r>
        <w:t>Vu le sort de la cause, les frais judiciaires seront arrêtés à 400 fr. et laissés à la charge de l’Etat (art. 52 al. 1 LaCC). L'avance de frais de même montant versée par le recourant lui sera restituée. * * * * *</w:t>
      </w:r>
    </w:p>
    <w:p>
      <w:r>
        <w:t>- 6/6 -</w:t>
      </w:r>
    </w:p>
    <w:p>
      <w:r>
        <w:t>C/343/2022-CS PAR CES MOTIFS, La Chambre de surveillance : A la forme : Déclare recevable le recours formé le 29 mars 2023 par A______ contre l'ordonnance DTAE/960/2023 rendue le 9 janvier 2023 par le Tribunal de protection de l’adulte et de l’enfant dans la cause C/343/2022. Au fond : Annule l'ordonnance querellée. Renvoie la procédure au Tribunal de protection de l'adulte et de l'enfant pour nouvelle décision au sens des considérants. Arrête les frais judiciaires à 400 fr. et les laisse à la charge de l'Etat de Genève. Invite les Services financiers du Pouvoir judiciaire à restituer à A______ son avance de frais versée à hauteur de 400 fr.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