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DAS/137/2022 vom 16. Dezember 2015</w:t>
      </w:r>
    </w:p>
    <w:p>
      <w:r>
        <w:t>GE Cour de justice, 2015-12-16, FR</w:t>
      </w:r>
    </w:p>
    <w:p>
      <w:r>
        <w:rPr>
          <w:b/>
        </w:rPr>
        <w:t xml:space="preserve">Quelle: </w:t>
      </w:r>
      <w:r>
        <w:t>https://mcp.opencaselaw.ch/entscheid/ge_gerichte_DAS_137_2022</w:t>
      </w:r>
    </w:p>
    <w:p>
      <w:r>
        <w:t>FR: GE_GERICHTE DAS/137/2022 du 16 décembre 2015</w:t>
      </w:r>
    </w:p>
    <w:p>
      <w:r>
        <w:t>IT: GE_GERICHTE DAS/137/2022 del 16 dicembre 2015</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dans un délai de trente jours dès leur notification (art. 450 al. 1 CC ; art. 450b al. 1 CC et 53 al. 1 LaCC). Interjetés par la mère et les mineurs, soit des personnes ayant qualité pour recourir, dans le délai utile et suivant la forme prescrite, les recours sont recevables.</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Les recourants contestent l'ordonnance en tant qu'elle ordonne le placement immédiat des mineurs dans un foyer.</w:t>
      </w:r>
    </w:p>
    <w:p>
      <w:r>
        <w:rPr>
          <w:b/>
        </w:rPr>
        <w:t>E. 2.1</w:t>
      </w:r>
    </w:p>
    <w:p>
      <w:r>
        <w:t>Selon l'art. 310 al. 1 CC, lorsqu'elle ne peut éviter autrement que le développement d'un mineur ne soit compromis, l'autorité de protection de l'enfant retire ce dernier aux père et mère et le place de façon appropriée.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w:t>
      </w:r>
    </w:p>
    <w:p>
      <w:r>
        <w:t>- 12/19 -</w:t>
      </w:r>
    </w:p>
    <w:p>
      <w:r>
        <w:t>C/27112/2018-CS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 307 et 308 CC (principes de proportionnalité et de subsidiarité). Parmi tous les autres facteurs pertinents, le souhait de l'enfant doit être pris en considération. Cette mesure de protection a pour effet que le droit de déterminer le lieu de résidence de l'enfant passe des père et mère à l'autorité, laquelle choisit alors son encadrement (arrêts du Tribunal fédéral 5A_153/2019 consid. 4.3; 5A_548/2015 du 15 octobre 2015 consid. 4.3). A l'instar de toutes mesures de protection de l'enfant, le retrait du droit de garde est régi par les principes de subsidiarité, de complémentarité et de proportionnalité (arrêt du Tribunal fédéral 5A_858/2008 du 15 avril 2009 consid. 4.2). La Chambre de céans a déjà eu l'occasion de rappeler que si le retrait de garde est une ultima ratio, le placement d'un enfant en foyer en constitue également une, qui ne doit être ordonné que lorsqu'aucune mesure de protection moins incisive n'est envisageable (par ex. DAS/45/2020; DAS/242/2019; DAS/153/2019).</w:t>
      </w:r>
    </w:p>
    <w:p>
      <w:r>
        <w:rPr>
          <w:b/>
        </w:rPr>
        <w:t>E. 2.2</w:t>
      </w:r>
    </w:p>
    <w:p>
      <w:r>
        <w:t>Pour trancher le sort des enfants, le juge peut ordonner une expertise. Il n'est en principe pas lié par le rapport de l'expert, qu'il doit apprécier en tenant compte de l'ensemble des autres preuves administrées. Sur les questions techniques, le juge ne peut toutefois s'écarter d'une expertise judiciaire que pour des motifs pertinents. En l'absence de tels motifs, il ne doit pas substituer son propre avis à celui de l'expert (cf. ATF 101 IV 129 consid. 3a). Le juge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A défaut, en se fondant sur une expertise non concluante, il pourrait commettre une appréciation arbitraire des preuves (ATF 146 IV 114 consid. 2.1; 142 IV 49 consid. 2.1.3; arrêt du Tribunal fédéral 5A_381/2020 du 1er septembre 2020 consid. 4.1). Le juge peut également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w:t>
      </w:r>
    </w:p>
    <w:p>
      <w:r>
        <w:t>- 13/19 -</w:t>
      </w:r>
    </w:p>
    <w:p>
      <w:r>
        <w:t>C/27112/2018-CS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(DAS/61/2022 du 1er mars 2022 consid. 2.1.2; ACJC/1311/2017 du 11 octobre 2017 consid. 3.1.2; ACJC/993/2017 du 10 août 2017 consid. 5.1; ACJC/372/2017 du 28 mars 2017 consid. 5.1).</w:t>
      </w:r>
    </w:p>
    <w:p>
      <w:r>
        <w:rPr>
          <w:b/>
        </w:rPr>
        <w:t>E. 2.3</w:t>
      </w:r>
    </w:p>
    <w:p>
      <w:r>
        <w:t>En l'espèce, il ressort tout d’abord du dossier que si les enfants présentent des éléments anxieux en lien avec une communication intrafamiliale inadéquate et une importante emprise maternelle, ces éléments n'atteignaient toutefois pas les critères exigés pour poser un diagnostic de trouble anxieux de l'enfant. Il apparaît en outre que cette anxiété peut être prise en charge par un suivi thérapeutique régulier, lequel a été mis en œuvre en fin d'année dernière. La situation des mineurs n'est en outre pas décrite, par plusieurs intervenants tiers, comme aussi préoccupante que ce qui ressort de l’expertise. En particulier, il ressort de la procédure que les enfants, qui vivent avec leur mère depuis la séparation, vont bien, sont socialement intégrés et obtiennent d'excellents résultats scolaires. Personne, ni le pédiatre des enfants, ni les intervenants du SPMi, ni le curateur de représentation, ni les divers thérapeutes ou les enseignants, n'expose que les enfants seraient exposés auprès de leur mère à un danger physique quelconque, une absence de soins quotidiens ou un manque d'affection. Il ressort par contre de la procédure que la perspective d'une séparation potentielle avec leur environnement constitue pour les enfants un stress supplémentaire délétère pour leur équilibre. Certes et depuis de nombreuses années, diverses mesures de protection ont été tentées pour sortir les enfants du conflit de loyauté dans lequel ils se trouvent, et reconstruire le lien avec leur père. Leur mise en œuvre n'a toutefois pas permis d’atteindre le résultat escompté mais a conduit à une dégradation du lien, compte tenu de l'attitude de la mère, puis de celle des enfants eux-mêmes. En prenant en considération l’intérêt des mineurs, la Cour est d'avis que la mesure de placement, qui permettrait certes, à terme, de libérer les enfants de l’emprise maternelle, n’irait pas dans le sens d'un rétablissement du lien père-enfant et ne garantirait pas que leur développement psychoaffectif serait amélioré. La Cour</w:t>
      </w:r>
    </w:p>
    <w:p>
      <w:r>
        <w:t>- 14/19 -</w:t>
      </w:r>
    </w:p>
    <w:p>
      <w:r>
        <w:t>C/27112/2018-CS considère au contraire que le placement des mineurs en foyer, en tant que cela implique de les couper de leur milieu quotidien, de leurs habitudes et de leurs camarades, en sus de la séparation de la fratrie, ne garantirait pas la sauvegarde de leur intérêt, de sorte qu'elle serait, dans les faits, contraire à celui-ci. La Cour relève encore que les expertes focalisent leur analyse sur la nécessité de rétablir une relation entre les enfants et leur père, relation rendue mauvaise, voire inexistante, notamment par l'attitude de la mère à son égard et par l'emprise de la mère sur les enfants. Cela dit, il s'agit de rappeler que si, en principe, une relation saine avec leurs deux parents favorise l'équilibre et la construction personnelle des enfants, l'existence d'une telle relation n’est pas un but en soi. Or, dans le cas présent, il doit être admis que les tentatives qui ont été faites d’imposer aux enfants d’entretenir avec leur père des relations régulières se sont avérées contreproductives, puisque la situation s'est au contraire enkystée et que les enfants refusent désormais tout contact avec leur père. En outre, compte tenu de l'âge de l'aînée, la contraindre encore davantage, par son placement en foyer, ne ferait que renforcer son ressentiment envers son père. De même, s'agissant du cadet, il n'existe aucune assurance que cette mesure aura pour effet d’améliorer ses relations personnelles avec son père. Pour les deux enfants, il existe en revanche un risque concret, en cas de placement, que leur état de santé général, leurs relations sociales et leur scolarité se dégradent. Par conséquent, en suivant les conclusions de l’expertise, le Tribunal de protection n'a pas prononcé une mesure de protection opportune et proportionnée. En ordonnant le placement des enfants en foyer, il n'a pas tenu compte de l'intérêt des enfants à conserver la stabilité de leurs relations affectives, de leur lieu de vie, de leur scolarité et de leur quotidien, laquelle est assurée auprès de leur mère. Il n'apparaît au demeurant pas non plus opportun de retirer aux parents leur droit de garde et de déterminer le lieu de résidence compte tenu de ce qui précède, le lieu de vie des enfants devant demeurer auprès de leur mère. Le recours doit être admis et les chiffres 1 à 3, 5, 7 et 10 de l'ordonnance querellée annulés.</w:t>
      </w:r>
    </w:p>
    <w:p>
      <w:r>
        <w:rPr>
          <w:b/>
        </w:rPr>
        <w:t>E. 3</w:t>
      </w:r>
    </w:p>
    <w:p>
      <w:r>
        <w:t>Les recourants sollicitent la suspension de toutes relations personnelles avec leur père, ainsi que de tout suivi thérapeutique père-enfants. 3.1.1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qui doit servir en premier lieu l'intérêt de celui-ci (ATF 142 III 617 consid. 3.2.3; 141 III 328 consid. 5.4; 131 III 209 consid. 5; arrêts du Tribunal fédéral 5A_489/2019, 5A_504/2019 du 24 août 2020 consid. 5.1; 5A_41/2020 du</w:t>
      </w:r>
    </w:p>
    <w:p>
      <w:r>
        <w:t>- 15/19 -</w:t>
      </w:r>
    </w:p>
    <w:p>
      <w:r>
        <w:t>C/27112/2018-CS 10 juin 2020 consid. 4.1).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D'après la jurisprudence, il existe un danger pour le bien de l'enfant si son développement physique, moral ou psychique est menacé par la présence, même limitée, du parent qui n'a pas l'autorité parentale.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lui (ATF 122 III 404 consid. 3b; arrêts du Tribunal fédéral 5A_489/2019, 5A_504/2019 du 24 août 2020 consid. 5.1; 5A_23/2020 du 3 juin 2020 consid. 4; 5A_266/2019 du</w:t>
      </w:r>
    </w:p>
    <w:p>
      <w:r>
        <w:rPr>
          <w:b/>
        </w:rPr>
        <w:t>E. 3.2</w:t>
      </w:r>
    </w:p>
    <w:p>
      <w:r>
        <w:t>En l'espèce, les mineurs persistent à s'opposer à l'idée de revoir ou de parler à leur père. Certes, les expertes ont relevé quelques maladresses de la part de ce dernier et un mode éducatif « pas toujours idéal ». Cela étant, elles ont également relevé qu'il s'était excusé auprès des enfants, qu'il disposait de représentations éducatives cohérentes et adéquates concernant leurs besoins et aucun autre intervenant n'a relevé qu'il représenterait un danger quelconque pour les mineurs. Au contraire, les expertes ont recommandé un élargissement du droit de visite pour tendre au final à une garde alternée. La procédure pénale dirigée à l'encontre du père a été classée et il n'a pas non plus été établi que le prétendu retard de croissance de B______, allégué par la mère, soit dû à la relation père-enfant. L'instruction n'a ainsi pas permis d'objectiver les accusations portées par les mineurs et la mère à l'encontre du père. Compte tenu de ce qui précède, il ne se justifie pas de suspendre le droit de visite entre les enfants et leur père. En revanche, il apparaît nécessaire que le suivi thérapeutique individuel des enfants mis en place en fin d'année dernière se poursuive, ce nonobstant le fait que A______ n'y voit aucun bénéfice. La décision ne lui appartenant pas et la thérapeute n'ayant pas été entendue sur ce point, il n'y a pas lieu, pour l'instant, de suspendre son suivi. Il en va de même du suivi individuel de B______. Afin d'éviter le risque de mise en échec par la mère, la limitation de son autorité parentale en matière de soins médicaux et l'élargissement du mandat de curatelle sur ce point, prévue dans l'ordonnance du 17 septembre 2021, sera également maintenue. En sus, dans la mesure où la médiation a échoué et est, selon les médiateurs, contre-indiquée en l’état, il convient de maintenir l'exhortation des parents à entreprendre une thérapie de famille afin de tenter d'apaiser les conflits et de renouer le dialogue, dans l’intérêt bien compris de leurs enfants. Il n'y a toutefois pas lieu de faire dépendre l'exercice du droit de visite de cette thérapie. En effet, les relations père-enfants devraient avoir lieu tant dans ce cadre que dans un cadre plus ludique, ce afin de pouvoir créer, comme le recommandent les expertes, des moments de plaisir entre les enfants et leur père et de ne pas se focaliser uniquement sur le travail thérapeutique. A______ est désormais âgée de 16 ans et elle manifeste en l’état une opposition totale à renouer quelque relation que ce soit avec son père. Compte tenu de son âge et de cette forte opposition, les relations personnelles entre elle et son père devront être fixées d’accord entre eux. Il y a lieu d’espérer que le suivi thérapeutique permette peu à peu à la mineure de prendre ses distances par rapport à la position adoptée par sa mère à l’égard de son père, de se forger une opinion plus objective et de découvrir l’intérêt qu’elle pourrait trouver, pour son développement personnel, à entretenir des contacts apaisés et sereins avec ses deux parents.</w:t>
      </w:r>
    </w:p>
    <w:p>
      <w:r>
        <w:t>- 17/19 -</w:t>
      </w:r>
    </w:p>
    <w:p>
      <w:r>
        <w:t>C/27112/2018-CS En ce qui concerne B______, la reprise des contacts avec son père doit s'effectuer de manière progressive, soit, au minimum, à raison d’un repas un week-end sur deux durant les trois mois suivant la notification du présent arrêt, puis d’un après- midi un week-end sur deux durant les trois mois suivants, puis d’une journée un week-end sur deux durant les trois mois suivants, et enfin d’un week-end sur deux du vendredi après l'école au lundi matin retour à l'école, ainsi que durant la moitié des vacances scolaires. Compte tenu de l’âge de B______, il n’y a pas lieu de prévoir de modalité particulière pour le lieu de passage, le mineur pouvant rejoindre seul son père à proximité du domicile maternel et y être reconduit à la fin du droit de visite. Enfin, la mère sera enjointe à respecter le droit de visite tel que fixé ci-dessus, sous la menace de la peine prévue par l'art. 292 du Code pénal. Ainsi, le chiffre 4 du dispositif de l'ordonnance attaquée sera réformé dans le sens qui précède et les chiffres 6, 8 et 9 seront confirmés. 4. La procédure, portant sur des mesures de protection de l'enfant, est gratuite (art. 81 al. 1 LaCC). * * * * *</w:t>
      </w:r>
    </w:p>
    <w:p>
      <w:r>
        <w:t>- 18/19 -</w:t>
      </w:r>
    </w:p>
    <w:p>
      <w:r>
        <w:t>C/27112/2018-CS PAR CES MOTIFS, La Chambre de surveillance : A la forme : Déclare recevables les recours formés par D______ et les mineurs A______ et B______ contre l'ordonnance DTAE/7781/2021 du 2 décembre 2021 rendue par le Tribunal de protection de l'adulte et de l'enfant dans la cause C/27112/2018. Au fond : Annule les chiffres 1 à 5, 7 et 10 du dispositif de l'ordonnance et statuant à nouveau: Restitue à D______ et E______ le droit de garde et de déterminer le lieu de résidence des mineurs A______ et B______, nés respectivement les ______ 2006 et ______ 2010. Réserve à E______ un droit de visite sur l’enfant B______ devant s'exercer, au minimum à raison: - d’un repas un week-end sur deux durant les trois mois suivant la notification du présent arrêt, puis - d’un après-midi un week-end sur deux durant les trois mois suivants, puis - d’une journée un week-end sur deux durant les trois mois suivants, - puis d’un week-end sur deux du vendredi après l'école au lundi matin retour à l'école ainsi que durant la moitié des vacances scolaires. Dit que les relations personnelles entre la mineure A______ et son père s’exerceront d’entente entre eux. Enjoint D______ à respecter le droit de visite tel que posé ci-dessus sous la menace de la peine de l'art. 292 du Code pénal ainsi libellé : « Celui qui ne se sera pas conformé à une décision à lui signifiée sous la menace de la peine prévue au présent article par une autorité ou un fonctionnaire compétents sera puni d’une amende ». Confirme l'ordonnance attaquée pour le surplus. Déboute les parties de toute autre conclusion.</w:t>
      </w:r>
    </w:p>
    <w:p>
      <w:r>
        <w:t>- 19/19 -</w:t>
      </w:r>
    </w:p>
    <w:p>
      <w:r>
        <w:t>C/27112/2018-CS Sur les frais :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r>
        <w:rPr>
          <w:b/>
        </w:rPr>
        <w:t>E. 5</w:t>
      </w:r>
    </w:p>
    <w:p>
      <w:r>
        <w:t>août 2019 consid. 3.3.1; 5A_478/2018 du 10 août 2018 consid. 5.2.1).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5A_478/2018 du</w:t>
      </w:r>
    </w:p>
    <w:p>
      <w:r>
        <w:rPr>
          <w:b/>
        </w:rPr>
        <w:t>E. 10</w:t>
      </w:r>
    </w:p>
    <w:p>
      <w:r>
        <w:t>août 2018 consid. 5.2.1; MEIER/STETTLER, Droit de la filiation, 6ème éd. 2019, p. 661 ss, n° 1014 ss). Pour fixer le droit aux relations personnelles, le juge fait usage de son pouvoir d'appréciation (art. 4 CC; ATF 131 III 209 consid. 3; 120 II 229 consid. 4a; arrêts du Tribunal fédéral 5A_489/2019, 5A_504/2019 du 24 août 2020 consid. 5.1; 5A_41/2020 du 10 juin 2020 consid. 4.1; 5A_454/2019 du 16 avril 2020 consid. 4.2.1). 3.1.2 L'autorité de protection de l'enfant peut, en particulier, rappeler les père et mère à leurs devoirs, donner des indications ou des instructions relatives au soin, à l'éducation et à la formation de l'enfant, et désigner une personne ou un office qualifiés qui aura un droit de regard et d'information (art. 307 al. 3 CC).</w:t>
      </w:r>
    </w:p>
    <w:p>
      <w:r>
        <w:t>- 16/19 -</w:t>
      </w:r>
    </w:p>
    <w:p>
      <w:r>
        <w:t>C/27112/2018-CS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