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DAS/136/2024 vom 13. Juni 2024</w:t>
      </w:r>
    </w:p>
    <w:p>
      <w:r>
        <w:t>GE Cour de justice, 2024-06-13, FR</w:t>
      </w:r>
    </w:p>
    <w:p>
      <w:r>
        <w:rPr>
          <w:b/>
        </w:rPr>
        <w:t xml:space="preserve">Quelle: </w:t>
      </w:r>
      <w:r>
        <w:t>https://mcp.opencaselaw.ch/entscheid/ge_gerichte_DAS_136_2024</w:t>
      </w:r>
    </w:p>
    <w:p>
      <w:r>
        <w:t>FR: GE_GERICHTE DAS/136/2024 du 13 juin 2024</w:t>
      </w:r>
    </w:p>
    <w:p>
      <w:r>
        <w:t>IT: GE_GERICHTE DAS/136/2024 del 13 giugno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rendues sur mesures provisionnelles peuvent faire l'objet d'un recours auprès de la Chambre de surveillance de la Cour de justice (art. 450 al. 1 CC et 53 al. 1 LaCC) dans un délai de dix jours à compter de leur notification (art. 445 al. 3 CC). Interjeté par la mère des mineurs concernés par l’ordonnance litigieuse, dans le délai utile et suivant la forme prescrite, le recours est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B______ a préalablement conclu au retrait de l’effet suspensif au recours. Cette conclusion est toutefois sans objet, le recours contre une décision rendue sur mesures provisionnelles ne déployant pas d’effet suspensif (art. 315 al. 4 let. b CPC). Quoiqu’il en soit, la cause étant en état d’être jugée au fond, cette conclusion est sans objet.</w:t>
      </w:r>
    </w:p>
    <w:p>
      <w:r>
        <w:rPr>
          <w:b/>
        </w:rPr>
        <w:t>E. 3</w:t>
      </w:r>
    </w:p>
    <w:p>
      <w:r>
        <w:t>3.1.1 L’autorité de protection de l’adulte prend, d’office ou à la demande d’une personne partie à la procédure, toutes les mesures provisionnelles nécessaires</w:t>
      </w:r>
    </w:p>
    <w:p>
      <w:r>
        <w:t>- 9/12 -</w:t>
      </w:r>
    </w:p>
    <w:p>
      <w:r>
        <w:t>C/19262/2021-CS pendant la durée de la procédure (art. 445 al. 1 CC). Cette disposition est applicable par analogie, par le biais de l’art. 314 al. 1 CC, dans le cadre des procédures concernant des mineurs.</w:t>
      </w:r>
    </w:p>
    <w:p>
      <w:r>
        <w:t>3.1.2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3.1.3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- 10/12 -</w:t>
      </w:r>
    </w:p>
    <w:p>
      <w:r>
        <w:t>C/19262/2021-CS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3.2.1 En ce qui concerne le mineur H______, le Tribunal de protection a renoncé à prononcer des mesures provisionnelles, de sorte que le droit de visite du père continue d’être réglementé par la décision rendue par une autorité judiciaire française. La Chambre de surveillance rappellera que selon la teneur claire de l’art. 445 al. 1 CC, des mesures provisionnelles ne sont prononcées que si elles sont nécessaires. Or, tel n’est pas le cas en l’espèce. Le mineur H______ a certes manifesté clairement son refus de voir son père, position qui entre en conflit avec le droit de visite réservé à ce dernier par les tribunaux français. Il résulte toutefois des propres allégations de la recourante que B______ n’a plus manifesté l’intention d’exercer son droit de visite sur le mineur depuis le mois de janvier 2022, soit depuis plus de deux ans, et rien n’indique qu’il aurait l’intention d’en exiger la reprise. Il n’y avait dès lors aucune nécessité de modifier le droit de visite en vigueur par le prononcé de mesures provisionnelles.</w:t>
      </w:r>
    </w:p>
    <w:p>
      <w:r>
        <w:t>La recourante sera déboutée de ses conclusions sur ce point.</w:t>
      </w:r>
    </w:p>
    <w:p>
      <w:r>
        <w:t>3.2.2 En ce qui concerne l’enfant I______, il sera relevé que celui-ci était très jeune au moment de la séparation de ses parents et le conflit parental a conduit à la coupure des liens avec son père. Cette absence complète de relations est peut- être préjudiciable au bon développement du mineur, lequel semble par ailleurs présenter certaines fragilités. Il paraît dès lors nécessaire que les liens avec le père puissent être renoués, ce qui ne saurait toutefois se faire sans quelques précautions. Or, force est de constater que le Tribunal de protection a fixé un droit de visite qui tient compte de toutes les spécificités du cas d’espèce et des particularités du mineur, puisque ce droit doit non seulement reprendre de manière progressive, mais également sous l’égide du P______, le processus devant en outre débuter par plusieurs entretiens de préparation séparés entre un médecin du P______, le père, la mère et l’enfant. La reprise des relations personnelles entre I______ et B______ sera par conséquent non seulement encadrée, mais également préparée en amont, ce qui permettra au médecin du P______ de s’assurer que ladite reprise est possible et qu’elle ne mettra pas à mal l’équilibre par hypothèse fragile du mineur.</w:t>
      </w:r>
    </w:p>
    <w:p>
      <w:r>
        <w:t>- 11/12 -</w:t>
      </w:r>
    </w:p>
    <w:p>
      <w:r>
        <w:t>C/19262/2021-CS</w:t>
      </w:r>
    </w:p>
    <w:p>
      <w:r>
        <w:t>Les mesures d’instruction requises par la recourante n’apparaissent dès lors pas nécessaires. Il sera rappelé qu’une expertise du groupe familial est un processus particulièrement long, qu’il ne se justifie de mettre en œuvre que lorsqu’il est absolument indispensable, ce qui n’est pas le cas en l’espèce. L’audition de la psychologue du mineur n’apparaît pas non plus nécessaire, puisque sa position est d’ores et déjà connue, à savoir qu’il faudrait, en cas de reprise des relations, veiller à ne pas compromettre l’équilibre récemment retrouvé du mineur. Or, tel est précisément le but poursuivi par les cautèles mises en œuvre par le Tribunal de protection dans la décision querellée. Pour le surplus, la recourante n’explique pas de manière convaincante en quoi le fait de contacter l’école fréquentée par I______ ou la Dre N______ serait susceptible d’apporter des éléments nouveaux et utiles à la procédure. Le fait que l’enfant ait déclaré qu’il reprendrait contact avec son père lorsqu’il en éprouverait le besoin ne saurait, compte tenu du jeune âge de l’intéressé, faire obstacle à la reprise d’un droit de visite. La responsabilité d’une telle reprise ne saurait en effet reposer sur les épaules d’un enfant de moins de 9 ans.</w:t>
      </w:r>
    </w:p>
    <w:p>
      <w:r>
        <w:t>Enfin, la Chambre de surveillance relève que les parents, tous deux médecins de formation, devraient être en mesure de comprendre l’impact délétère que leur conflit, qui perdure désormais depuis à tout le moins six ans, a sur leurs enfants. Au lieu d’en prendre conscience, ils ont toutefois préféré s’affronter dans le cadre de diverses procédures tant civiles que pénales, déposées en Suisse et en France. Ce faisant, ils ont démontré leur incapacité, en dépit de l’écoulement du temps et des problèmes rencontrés par leurs enfants, à renouer un dialogue serein, dans l’intérêt bien compris de ces derniers. La mise en œuvre d’une thérapie familiale apparaît par conséquent nécessaire et il ne saurait être reproché au Tribunal de protection de l’avoir ordonnée, quand bien même B______ aurait refusé de participer à une telle thérapie par le passé.</w:t>
      </w:r>
    </w:p>
    <w:p>
      <w:r>
        <w:t>Infondé, le recours sera rejeté.</w:t>
      </w:r>
    </w:p>
    <w:p>
      <w:r>
        <w:rPr>
          <w:b/>
        </w:rPr>
        <w:t>E. 4</w:t>
      </w:r>
    </w:p>
    <w:p>
      <w:r>
        <w:t>Le recours portant essentiellement sur les relations personnelles entre les mineurs et leur père, la procédure n’est pas gratuite (art. 77 LaCC ; art. 67A et 67B RTFMC).</w:t>
      </w:r>
    </w:p>
    <w:p>
      <w:r>
        <w:t>Les frais judiciaires seront arrêtés à 800 fr. et mis à la charge de la recourante, qui succombe. Elle sera condamnée à les payer à l’Etat de Genève, soit pour lui les Services financiers du Pouvoir judiciaire.</w:t>
      </w:r>
    </w:p>
    <w:p>
      <w:r>
        <w:t>Compte tenu de la nature familiale du litige, il ne sera pas alloué de dépens (art. 107al. 1 let. c CPC). * * * * *</w:t>
      </w:r>
    </w:p>
    <w:p>
      <w:r>
        <w:t>- 12/12 -</w:t>
      </w:r>
    </w:p>
    <w:p>
      <w:r>
        <w:t>C/19262/2021-CS PAR CES MOTIFS, La Chambre de surveillance : A la forme : Déclare recevable le recours formé par A______ contre l’ordonnance DTAE/10403/2023 rendue le 6 décembre 2023 par le Tribunal de protection de l’adulte et de l’enfant dans la cause C/19262/2021. Au fond : Le rejette. Déboute les parties de toutes autres conclusions. Sur les frais : Arrête les frais judiciaires du recours à 800 fr., les met à la charge de A______ et la condamne à payer ce montant à l’Etat de Genève, soit pour lui les Services financiers du Pouvoir judiciaire. Dit qu’il n’est pas alloué de dépens. Siégeant : Monsieur Cédric-Laurent MICHEL, président;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