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DAS/129/2014 vom 15. Juli 2014</w:t>
      </w:r>
    </w:p>
    <w:p>
      <w:r>
        <w:t>GE Cour de justice, 2014-07-15, FR</w:t>
      </w:r>
    </w:p>
    <w:p>
      <w:r>
        <w:rPr>
          <w:b/>
        </w:rPr>
        <w:t xml:space="preserve">Quelle: </w:t>
      </w:r>
      <w:r>
        <w:t>https://mcp.opencaselaw.ch/entscheid/ge_gerichte_DAS_129_2014</w:t>
      </w:r>
    </w:p>
    <w:p>
      <w:r>
        <w:t>FR: GE_GERICHTE DAS/129/2014 du 15 juillet 2014</w:t>
      </w:r>
    </w:p>
    <w:p>
      <w:r>
        <w:t>IT: GE_GERICHTE DAS/129/2014 del 15 luglio 2014</w:t>
      </w:r>
    </w:p>
    <w:p>
      <w:pPr>
        <w:pStyle w:val="Heading2"/>
      </w:pPr>
      <w:r>
        <w:t>Erwägungen</w:t>
      </w:r>
    </w:p>
    <w:p>
      <w:r>
        <w:rPr>
          <w:b/>
        </w:rPr>
        <w:t>E. 1</w:t>
      </w:r>
    </w:p>
    <w:p>
      <w:r>
        <w:t>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 Compte tenu du domicile des requérants à Genève, la Cour de justice civile est compétente pour prononcer l'adoption (art. 75 al. 1 LDIP; art. 120 al. 1 let c LOJ). Le droit suisse est en outre applicable (art. 77 al. 1 LDIP).</w:t>
      </w:r>
    </w:p>
    <w:p>
      <w:r>
        <w:rPr>
          <w:b/>
        </w:rPr>
        <w:t>E. 2</w:t>
      </w:r>
    </w:p>
    <w:p>
      <w:r>
        <w:t>En l'espèce, les requérants mariés remplissent toutes les conditions exigées par la loi pour que l'adoption soit prononcée. En effet, ils sont âgés de plus de trente-cinq ans (art. 264a al. 2 CC). L'écart d'âge de seize ans entre eux et l'enfant est, par ailleurs, respecté (art. 265 al. 1 CC). Les requérants ont, en outre, pourvu de manière adéquate à l'éducation et à l'entretien de l'enfant durant plus d'un an (art. 264 CC). Il ressort, par ailleurs, de l'enquête exigée par l'art. 268a CC, et effectuée par les services genevois compétents, que l'adoption du mineur par les époux requérants sert son intérêt (art. 264 CC). Au vu de ces éléments et des liens affectifs qui unissent les requérants à l'enfant, tels qu'ils ressortent du rapport de fin de tutelle (art. 268a al. 1 CC), les conditions posées à l'adoption sont réunies. Comme le Tribunal de protection auparavant, il sera fait abstraction du consentement des parents biologiques restés inconnus (art. 265c CC). L'adoption requise peut être dès lors prononcée par la Chambre civile de la Cour de justice. L'enfant continuera à porter les prénoms de C______ et E______.</w:t>
      </w:r>
    </w:p>
    <w:p>
      <w:r>
        <w:rPr>
          <w:b/>
        </w:rPr>
        <w:t>E. 3</w:t>
      </w:r>
    </w:p>
    <w:p>
      <w:r>
        <w:t>Les frais de la procédure arrêtés à 1'000 fr. (art. 19 al 1 et 3 let a LaCC; art. 26 du règlement fixant le tarif des frais en matière civile) sont mis à la charge des époux requérants. Ils sont entièrement compensés avec l'avance de frais de même</w:t>
      </w:r>
    </w:p>
    <w:p>
      <w:r>
        <w:t>- 4/5 -</w:t>
      </w:r>
    </w:p>
    <w:p>
      <w:r>
        <w:t>C/11824/2014-CS montant d'ores et déjà opérée, qui reste acquise à l'Etat (art. 2 RTFMC; art. 98, 101 et 111 CPC). * * * * *</w:t>
      </w:r>
    </w:p>
    <w:p>
      <w:r>
        <w:t>- 5/5 -</w:t>
      </w:r>
    </w:p>
    <w:p>
      <w:r>
        <w:t>C/11824/2014-CS PAR CES MOTIFS, La Chambre civile : Prononce l'adoption de C______, né en Ethiopie le ______ 2005 selon le calendrier éthiopien (soit le ______2012 selon le calendrier grégorien), originaire d'Ethiopie, par B______, né le ______ 1974 au ______ (France), de nationalité française, et A______, née ______ le ______1970, originaire de ______ (Genève), domiciliés ______ (Genève). Dit que l'adopté portera désormais les prénoms de C______ et E______. Fixe les frais de la procédure à 1'000 fr., les met à la charge des époux A______ et B______ et dit que ces frais sont entièrement compensés par l'avance de frais du même montant, qui reste acquise à l'Etat. Déboute les parties de toutes autres conclusions. Siégeant : Monsieur Cédric-Laurent MICHEL, président; Monsieur Jean-Marc STRUBIN et Madame Paola CAMPOMAGNANI, juges; Madame Carmen FRAGA, greffière.</w:t>
      </w:r>
    </w:p>
    <w:p>
      <w:r>
        <w:t>Annexes pour l'Etat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