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DAS/127/2019 vom 26. September 2019</w:t>
      </w:r>
    </w:p>
    <w:p>
      <w:r>
        <w:t>GE Cour de justice, 2019-09-26, FR</w:t>
      </w:r>
    </w:p>
    <w:p>
      <w:r>
        <w:rPr>
          <w:b/>
        </w:rPr>
        <w:t xml:space="preserve">Quelle: </w:t>
      </w:r>
      <w:r>
        <w:t>https://mcp.opencaselaw.ch/entscheid/ge_gerichte_DAS_127_2019</w:t>
      </w:r>
    </w:p>
    <w:p>
      <w:r>
        <w:t>FR: GE_GERICHTE DAS/127/2019 du 26 septembre 2019</w:t>
      </w:r>
    </w:p>
    <w:p>
      <w:r>
        <w:t>IT: GE_GERICHTE DAS/127/2019 del 26 settembre 2019</w:t>
      </w:r>
    </w:p>
    <w:p>
      <w:pPr>
        <w:pStyle w:val="Heading2"/>
      </w:pPr>
      <w:r>
        <w:t>Erwägungen</w:t>
      </w:r>
    </w:p>
    <w:p>
      <w:r>
        <w:rPr>
          <w:b/>
        </w:rPr>
        <w:t>E. 1.1</w:t>
      </w:r>
    </w:p>
    <w:p>
      <w:r>
        <w:t>Les dispositions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w:t>
      </w:r>
    </w:p>
    <w:p>
      <w:r>
        <w:t>- 5/8 -</w:t>
      </w:r>
    </w:p>
    <w:p>
      <w:r>
        <w:t>C/22414/2005-CS (art. 450b al. 1 CC). Le recours doit être dûment motivé et interjeté auprès du juge (art. 450 al. 3 CC). Interjetée par une partie à la procédure, dans le délai utile et selon la forme prescrite, le recours est recevable.</w:t>
      </w:r>
    </w:p>
    <w:p>
      <w:r>
        <w:rPr>
          <w:b/>
        </w:rPr>
        <w:t>E. 1.2</w:t>
      </w:r>
    </w:p>
    <w:p>
      <w:r>
        <w:t>La Chambre de surveillance examine la cause librement, en fait, en droit et sous l'angle de l'opportunité (art. 450a CC). Elle n'est pas liée par les conclusions des parties (art. 446 CC).</w:t>
      </w:r>
    </w:p>
    <w:p>
      <w:r>
        <w:rPr>
          <w:b/>
        </w:rPr>
        <w:t>E. 2</w:t>
      </w:r>
    </w:p>
    <w:p>
      <w:r>
        <w:t>Le recourant sollicite l'annulation de l'ordonnance suspendant son droit de visite sur son fils.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101ss, p. 105). Le rapport de l'enfant avec ses deux parents est essentiel et peut jouer un rôle décisif dans le processus de sa recherche d'identité (ATF 127 III 295 consid. 4a; 123 III 445 consid. 3c; 122 III 404 consid. 3a).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w:t>
      </w:r>
    </w:p>
    <w:p>
      <w:r>
        <w:t>- 6/8 -</w:t>
      </w:r>
    </w:p>
    <w:p>
      <w:r>
        <w:t>C/22414/2005-CS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et 5C.58/2004; Kantonsgericht SG in RDT 2000 p. 204; VEZ, op. cit p. 122; MEIER/STETTLER, Droit de la filiation, 3ème éd. 2006, p. 148/149 n. 270/272, p. 157 n. 283).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op. cit. p. 24). 2.1.2 Dans les procédures concernant les mineurs, le Tribunal de protection entend les père et mère de l'enfant; s'ils ne comparaissent pas, ils peuvent être amenés par la force publique (art. 38 let. b LaCC). Cette disposition correspond à l'ancien art. 36 al. 4 aLaCC qui prévoyait l'audition obligatoire des père et mère par le Tribunal tutélaire dans les causes concernant les enfants. Cette règle est reprise de manière générale par les procédures applicables aux enfants dans les affaires de droit de la famille par le CPC (art. 297 al. 1 CPC; Décisions de la Chambre de surveillance DAS/15/2018, DAS/246/2016 et DAS 238/2016).</w:t>
      </w:r>
    </w:p>
    <w:p>
      <w:r>
        <w:rPr>
          <w:b/>
        </w:rPr>
        <w:t>E. 2.2</w:t>
      </w:r>
    </w:p>
    <w:p>
      <w:r>
        <w:t>En l'espèce, le Tribunal de protection a prononcé, sur le fond, une mesure de suspension de toutes relations personnelles entre le recourant et son fils par simple apposition de son timbre humide, sur les recommandations faites par le Service de protection des mineurs dans son rapport du 17 juillet 2018. Il a certes invité les parents du mineur à se déterminer par écrit sur les conclusions de ce rapport mais il n'a pas procédé à leur audition avant de rendre sa décision. Or, la mesure prononcée est la plus contraignante qui peut être prise en matière de relations personnelles entre le parent non gardien et son enfant et elle ne doit être envisagée que si elle constitue l'ultime moyen d'éviter que le bien de l'enfant ne soit mis en péril. Une telle mesure de protection ne peut ainsi être rendue sur le fond sans avoir procédé à l'audition des parents du mineur concerné, ce qui est d'ailleurs toujours la règle, comme rappelé supra, dans les procédures concernant les mineurs. L'ordonnance attaquée sera en conséquence annulée et la cause renvoyée au Tribunal de protection pour qu'il procède à l'audition des parents du mineur et rende une nouvelle décision. Il n'est, en l'état, pas nécessaire de prononcer des mesures provisionnelles dès lors que le recourant a entrepris la thérapie ordonnée auprès de F______, en</w:t>
      </w:r>
    </w:p>
    <w:p>
      <w:r>
        <w:t>- 7/8 -</w:t>
      </w:r>
    </w:p>
    <w:p>
      <w:r>
        <w:t>C/22414/2005-CS tous cas depuis le mois de septembre 2018, ce qui est corroboré par le Service de protection des mineurs dans ses déterminations sur le présent recours, de telle sorte qu'il a, malgré la décision rendue, accès à son fils, dans un lieu encadré par des professionnels.</w:t>
      </w:r>
    </w:p>
    <w:p>
      <w:r>
        <w:rPr>
          <w:b/>
        </w:rPr>
        <w:t>E. 3</w:t>
      </w:r>
    </w:p>
    <w:p>
      <w:r>
        <w:t>Compte tenu du résultat de la procédure, les frais judiciaires seront laissés à la charge de l'Etat de Genève. La somme correspondante avancée par le recourant lui sera donc restituée. Il ne sera pas alloué de dépens. * * * * *</w:t>
      </w:r>
    </w:p>
    <w:p>
      <w:r>
        <w:t>- 8/8 -</w:t>
      </w:r>
    </w:p>
    <w:p>
      <w:r>
        <w:t>C/22414/2005-CS PAR CES MOTIFS, La Chambre de surveillance : A la forme : Déclare recevable le recours formé le 26 septembre 2018 par A______ contre la décision DTAE/5196/2018 rendue par le Tribunal de protection de l'adulte et de l'enfant le 31 août 2018 dans la cause C/22414/2005-7. Au fond : L'admet et annule l'ordonnance entreprise. Renvoie la cause au Tribunal de protection de l'adulte et de l'enfant pour procéder à l'audition des parents et rendre une nouvelle décision. Sur les frais : Laisse les frais judiciaires à la charge de l'Etat de Genève. Ordonne en conséquence aux Services financiers du Pouvoir judiciaire de restituer la somme de 400 fr. à A______. Dit qu'il n'y a pas lieu à allocation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