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DAS/126/2024 vom 5. Juni 2024</w:t>
      </w:r>
    </w:p>
    <w:p>
      <w:r>
        <w:t>GE Cour de justice, 2024-06-05, FR</w:t>
      </w:r>
    </w:p>
    <w:p>
      <w:r>
        <w:rPr>
          <w:b/>
        </w:rPr>
        <w:t xml:space="preserve">Quelle: </w:t>
      </w:r>
      <w:r>
        <w:t>https://mcp.opencaselaw.ch/entscheid/ge_gerichte_DAS_126_2024</w:t>
      </w:r>
    </w:p>
    <w:p>
      <w:r>
        <w:t>FR: GE_GERICHTE DAS/126/2024 du 5 juin 2024</w:t>
      </w:r>
    </w:p>
    <w:p>
      <w:r>
        <w:t>IT: GE_GERICHTE DAS/126/2024 del 5 giugno 2024</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 1 LaCC).</w:t>
      </w:r>
    </w:p>
    <w:p>
      <w:r>
        <w:t>- 5/7 -</w:t>
      </w:r>
    </w:p>
    <w:p>
      <w:r>
        <w:t>C/19206/2022-CS Formé par la personne concernée par la décision attaquée, dans le délai utile et selon la forme prescrite, le recours est recevable.</w:t>
      </w:r>
    </w:p>
    <w:p>
      <w:r>
        <w:rPr>
          <w:b/>
        </w:rPr>
        <w:t>E. 1.2</w:t>
      </w:r>
    </w:p>
    <w:p>
      <w:r>
        <w:t>La Chambre de céans établit les faits d'office, applique le droit d'office et n'est pas liée par les conclusions des parties (art. 446 CC).</w:t>
      </w:r>
    </w:p>
    <w:p>
      <w:r>
        <w:rPr>
          <w:b/>
        </w:rPr>
        <w:t>E. 2.1</w:t>
      </w:r>
    </w:p>
    <w:p>
      <w:r>
        <w:t>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w:t>
      </w:r>
    </w:p>
    <w:p>
      <w:r>
        <w:rPr>
          <w:b/>
        </w:rPr>
        <w:t>E. 2.2</w:t>
      </w:r>
    </w:p>
    <w:p>
      <w:r>
        <w:t>En l’espèce, il ressort des indications fournies par le médecin du recourant que celui-ci souffre de troubles psychiques chroniques entravant son autonomie. De plus, selon les explications de l'Hospice général, qui ne sont pas contredites, le défaut de collaboration du recourant met en péril le versement des prestations de l'Hospice général, cette institution ayant déclaré devoir faire preuve de souplesse dans l'attente d'une curatelle éventuelle. Par ailleurs, le recourant a renoncé à répondre aux sollicitations de l'AI l'exhortant à fournir les documents permettant de statuer sur sa demande d'invalidité. Il affirme avoir l'intention de trouver du travail, sans toutefois faire valoir des perspectives concrètes à cet égard. Dans cette mesure, il apparait que le recourant n'est pas capable de veiller à la préservation de ses intérêts. Pour le reste, lorsque le recourant a requis l'instauration de la curatelle, il a indiqué que son père, qui l'aidait beaucoup, était épuisé par la situation. Il ne revient pas sur cette allégation et ne soutient pas, en particulier, que ce dernier peut lui fournir toute l'assistance dont il a besoin. Les hospitalisations du recourant se sont succédées depuis 2021, notamment en raison de ruptures de traitement. Son acceptation d'un traitement dépôt en cas de nouvelle hospitalisation ne permet pas d'éviter une rechute, mais uniquement de mieux gérer une situation de crise. Selon les déclarations du médecin qui ne sont contredites par aucun élément objectif, l'évolution de son état psychique dépend</w:t>
      </w:r>
    </w:p>
    <w:p>
      <w:r>
        <w:t>- 6/7 -</w:t>
      </w:r>
    </w:p>
    <w:p>
      <w:r>
        <w:t>C/19206/2022-CS de son engagement dans le suivi psychiatrique et psychothérapeutique ambulatoire et de l'observance du traitement médicamenteux. Or, le recourant a déclaré devant le Tribunal de protection qu'il entendait réduire progressivement le traitement médicamenteux jusqu'à son arrêt complet, estimant qu'il n'en a pas besoin. Dans son recours, il annonce avoir d'ores et déjà réduit la dose prescrite. Il déclare se sentir beaucoup mieux, mais ne fournit aucun élément utile démontrant qu'il gérerait désormais correctement ses affaires. Partant, l'appréciation du Tribunal de protection, qui a considéré qu'il existait un risque de rechute manifeste au regard de la fragilité de son état, ne peut être que partagée. Par conséquent, au regard des faits établis, les seules déclarations d'intention du recourant, qui ne reposent sur aucun élément concret, ne permettent pas de retenir l’absence de nécessité d’une mesure de protection. Dès lors, la mesure de curatelle prononcée doit être confirmée.</w:t>
      </w:r>
    </w:p>
    <w:p>
      <w:r>
        <w:rPr>
          <w:b/>
        </w:rPr>
        <w:t>E. 3</w:t>
      </w:r>
    </w:p>
    <w:p>
      <w:r>
        <w:t>Les frais de la procédure, arrêtés à 400 fr., seront mis à la charge du recourant, qui succombe. Ils seront compensés avec l’avance de frais en 400 fr., qui reste acquise à l’Etat de Genève (art. 111 al. 1 CPC). * * * * *</w:t>
      </w:r>
    </w:p>
    <w:p>
      <w:r>
        <w:t>- 7/7 -</w:t>
      </w:r>
    </w:p>
    <w:p>
      <w:r>
        <w:t>C/19206/2022-CS PAR CES MOTIFS, La Chambre de surveillance : A la forme : Déclare recevable le recours formé le 28 mars 2024 par A______ contre l'ordonnance DTAE/1501/2024 du 8 février 2024 rendue par le Tribunal de protection de l’adulte et de l’enfant dans la cause C/19206/2022. Au fond : Le rejette. Sur les frais : Arrête les frais de la procédure de recours à 400 fr., les met à la charge de A______ et les compense avec l’avance de frais versée, qui reste acquise à l’Etat de Genève. Siégeant : Monsieur Cédric-Laurent MICHEL, président; Mesdames Paola CAMPOMAGNANI et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