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DAS/126/2019 vom 25. September 2018</w:t>
      </w:r>
    </w:p>
    <w:p>
      <w:r>
        <w:t>GE Cour de justice, 2018-09-25, FR</w:t>
      </w:r>
    </w:p>
    <w:p>
      <w:r>
        <w:rPr>
          <w:b/>
        </w:rPr>
        <w:t xml:space="preserve">Quelle: </w:t>
      </w:r>
      <w:r>
        <w:t>https://mcp.opencaselaw.ch/entscheid/ge_gerichte_DAS_126_2019</w:t>
      </w:r>
    </w:p>
    <w:p>
      <w:r>
        <w:t>FR: GE_GERICHTE DAS/126/2019 du 25 septembre 2018</w:t>
      </w:r>
    </w:p>
    <w:p>
      <w:r>
        <w:t>IT: GE_GERICHTE DAS/126/2019 del 25 settembre 2018</w:t>
      </w:r>
    </w:p>
    <w:p>
      <w:pPr>
        <w:pStyle w:val="Heading2"/>
      </w:pPr>
      <w:r>
        <w:t>Erwägungen</w:t>
      </w:r>
    </w:p>
    <w:p>
      <w:r>
        <w:rPr>
          <w:b/>
        </w:rPr>
        <w:t>E. 22</w:t>
      </w:r>
    </w:p>
    <w:p>
      <w:r>
        <w:t>août 2018, s'est rallié aux recommandations de l'expert s'agissant de l'exercice du droit de visite du père et a préconisé qu'il soit fixé une semaine sur deux du mardi soir après l'école au jeudi matin et la semaine suivante du jeudi soir après l'école au lundi matin à l'école. p) Le Tribunal de protection a tenu une audience le 25 septembre 2018. Les experts J______ et L______ ont confirmé leur rapport, dont ils ont repris la teneur. C______, curatrice auprès du Service de protection des mineurs, a confirmé sa position du 22 août 2018 concernant le droit de visite et a préavisé de réduire le nombre de contacts téléphoniques entre l'enfant et sa mère ou son père à un ou deux par semaine lorsqu'il n'était pas avec ce parent et de ne plus diviser en deux les vacances de fin d'année, mais de les attribuer dans leur intégralité alternativement à chaque parent, sous réserve des 24 et 25 décembre. B______ a indiqué que les passages de l'enfant à l'occasion des visites se déroulaient sans heurts, le garçon descendant seul du logement de sa mère lorsque le père sonnait à l'interphone. Il a proposé d'exercer son droit de visite une semaine sur deux, du mercredi à 18h00 au mardi suivant à la reprise de l'école. II estimait plus opportun que l'enfant soit confié à sa mère le mercredi puisqu'elle ne travaillait pas, contrairement à lui, et pouvait s'en occuper. Bien</w:t>
      </w:r>
    </w:p>
    <w:p>
      <w:r>
        <w:t>- 9/16 -</w:t>
      </w:r>
    </w:p>
    <w:p>
      <w:r>
        <w:t>C/20321/2012-CS que sa consommation d'alcool ne soit pas excessive, il acceptait de se plier à des tests capillaires, si cela devait apaiser la situation. A______ a indiqué craindre que le cours extra-scolaires du mineur, le mercredi jusqu'à 15h30, soit compromis si le droit de visite du père commençait à 18h00, dès lors qu'à la suite de ce cours, elle prenait encore le temps de goûter ainsi que d'entreprendre d'autres activités avec son fils. De surcroît, elle s'interrogeait sur l'opportunité pour l'enfant de passer autant de nuits consécutives en étant privé d'un parent. L'élargissement du droit de visite devait donc être progressif, de manière à ce que E______ puisse s'habituer à ces changements qui étaient tout de même très importants. Les parents se sont accordés pour que les vacances de fin d'année continuent à être réparties entre eux à raison d'une semaine chacun, en alternance, d'une année à l'autre, et pour que leur fils passe tous les 24 décembre chez sa mère ainsi que tous les 25 décembre chez son père, charge à la mère de le chercher le 26 décembre à midi chez le père le cas échéant. Ils ont consenti au suivi thérapeutique du mineur et accepté de collaborer avec la Dre F______, dans la mesure où celle-ci les solliciterait. Ils ont accepté que les vacances d'été soient désormais partagées à raison de trois semaines consécutives puis d'une semaine séparée pour chaque parent, le bloc de trois semaines étant accordé à un parent une année sur deux durant la première partie des vacances, puis l'année suivante durant la seconde partie des vacances, et vice-versa, les vacances de février et d'octobre étant réparties en alternance entre les parents sans être divisées, contrairement aux vacances de Pâques qui seraient réparties par moitié, en alternance d'une année à l'autre. Le Tribunal de protection a gardé la cause à juger à l'issue de l'audience et rendu l'ordonnance contestée.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w:t>
      </w:r>
    </w:p>
    <w:p>
      <w:r>
        <w:t>- 10/16 -</w:t>
      </w:r>
    </w:p>
    <w:p>
      <w:r>
        <w:t>C/20321/2012-CS 1.3 Les pièces nouvellement déposées devant la Chambre de céans par les parents du mineur sont recevables, dans la mesure où l'art. 53 LaCC, qui régit de manière exhaustive les actes accomplis par les parties en seconde instance, à l'exclusion du CPC, ne prévoit aucune restriction en cette matière. 1.4 Le recours peut être formé pour violation du droit, constatation fausse ou incomplète des faits pertinents et inopportunité de la décision (art. 450a al. 1 CC). 2. La recourante conteste l'expertise familiale réalisée, et en sollicite l'annulation, au motif qu'elle n'a pas été supervisée par un médecin spécialiste FMH en psychiatrie et ne respecte pas les normes applicables, alors que des diagnostics médicaux psychiatriques ont été posés, sur lesquels les experts, puis le Tribunal de protection, se sont fondés pour proposer, respectivement fixer, un droit de visite élargi du père sur l'enfant. Elle sollicite une nouvelle expertise psychiatrique familiale. Elle ne s'oppose pas à un élargissement du droit de visite mais souhaite qu'il soit fixé conformément aux recommandations de la pédopsychiatre du mineur, la Dre F______.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Le juge dispose d'un large pouvoir d'appréciation dans la fixation du droit de visite (ATF 122 III 404 consid. 3d = JdT 1998 I 46). 2.1.2 Pour trancher le sort des enfants, le juge peut ordonner une expertise. Toutefois, il n'est pas lié par les conclusions qui en ressortent, mais doit les apprécier en tenant compte de l'ensemble des autres preuves administrées. Néanmoins, le juge ne saurait s'écarter sans raison sérieuse de l'expertise et doit motiver sa décision à cet égard (ATF 133 II 384 consid. 4.2.3; 129 I 49 consid. 4; 128 I 81 consid. 2; arrêts du Tribunal fédéral 5A_478/2016 du 10 mars 2017 consid. 5.2.2 et 5A_794/2017 du 7 février 2018 consid. 4.1). Il n'a toutefois en principe pas l'obligation de mettre en œuvre une telle mesure</w:t>
      </w:r>
    </w:p>
    <w:p>
      <w:r>
        <w:t>- 11/16 -</w:t>
      </w:r>
    </w:p>
    <w:p>
      <w:r>
        <w:t>C/20321/2012-CS probatoire et peut fonder sa conviction sur d'autres moyens de preuve à sa disposition (arrêt du Tribunal fédéral 5A_905/2011 du 28 mars 2012 consid. 2.5). Il peut ainsi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arrêts du Tribunal fédéral 5A_512/2017 du 22 décembre 2017 consid. 3.4.1 et 5A_794/2017 du 7 février 2018 consid. 4.1). 2.2.1 En l'espèce, le père du mineur a déposé en octobre 2016 devant le Tribunal de protection une requête tendant à l'élargissement de son droit de visite sur son fils à la nuit du mardi au mercredi, chaque semaine, ainsi qu'aux nuits du vendredi et du dimanche, une semaine sur deux. C'est la seule requête que devait examiner le Tribunal de protection. On peine ainsi à comprendre en quoi une expertise psychiatrique du groupe familial était de nature à résoudre cette question, ce d'autant que la mère était d'accord avec un léger élargissement du droit de visite, dont il convenait uniquement d'arrêter les modalités. L'expertise psychiatrique réalisée, outre le fait qu'elle est critiquable, dès lors qu'elle n'a été ni exécutée, ni supervisée par un expert psychiatre FMH, n'est par ailleurs d'aucun secours pour répondre à la question de l'élargissement du droit de visite du père, la mission confiée aux experts n'étant pas de se déterminer sur cette problématique, mais plus largement, d'analyser les capacités parentales des deux parents, de déterminer le lieu de vie le plus approprié pour le mineur, de préconiser son mode de garde, voire son placement hors milieu familial (sic) ou de formuler toute autre proposition dans son intérêt, toutes questions qui ne faisaient pas l'objet de la procédure et qu'aucun élément alarmant concernant l'enfant, qui aurait pu justifier une telle expertise, ne ressortait du dossier. Une expertise psychiatrique familiale étant, à la base, inutile pour déterminer la nécessité d'un élargissement du droit de visite du père, la demande de réalisation d'une nouvelle expertise, sollicitée par la recourante, doit également être rejetée. 2.2.2 Dès le dépôt de la requête, la recourante a affirmé qu'elle était d'accord sur le principe de l'élargissement du droit de visite du père, si ce n'est avec ses modalités. Elle a cependant émis des doutes sur la correcte prise en charge du mineur par son père, initialement en lien avec une consommation excessive d'alcool par ce dernier puis, par la suite, de manière confuse et générale, sans jamais décrire de situations préoccupantes. Elle a toutefois reconnu que l'alcoolisation du père était occasionnelle et festive et n'avait jamais impacté son droit de visite sur l'enfant, qui s'était toujours bien passé. Le père du mineur s'est d'ailleurs soumis à des tests sanguins qui ont révélé que sa consommation d'alcool n'était pas régulièrement excessive. Il s'est encore déclaré d'accord de se soumettre à un test capillaire afin de rassurer complètement la recourante sur cette question, ce dont le Tribunal de protection lui a donné acte. Le Service de protection des mineurs n'a, quant à lui, jamais constaté que le père était inadéquat dans la prise en charge du</w:t>
      </w:r>
    </w:p>
    <w:p>
      <w:r>
        <w:t>- 12/16 -</w:t>
      </w:r>
    </w:p>
    <w:p>
      <w:r>
        <w:t>C/20321/2012-CS mineur, au contraire, et préconisait déjà dans son rapport du 5 octobre 2016 un élargissement de son droit de visite. Il était toutefois préoccupé par le conflit parental massif, le manque de dialogue entre les parents et les difficultés dans l'organisation du droit de visite. Le principe de l'élargissement du droit de visite du père, qui n'est remis en cause par aucun des intervenants, étant acquis, il reste à en fixer les modalités. 2.2.3 Initialement, le père sollicitait un droit de visite étendu à la nuit du mardi au mercredi, relevant le manque de temps à partager avec l'enfant en raison de la nécessité de devoir le ramener à 20h00 chez sa mère, ce qui stressait père et fils et était source de conflit avec la mère, qui lui reprochait de ramener le mineur en retard chaque semaine. Il souhaitait également bénéficier d'un week-end complet, tous les quinze jours, soit du vendredi soir au lundi matin, afin de pouvoir profiter pleinement de la présence de son fils et partager des activités avec lui, voire partir en week-end. Il a toutefois amplifié ses conclusions lors de l'audience du 25 septembre 2018 tenue par le Tribunal de protection après expertise, sollicitant que le droit de visite soit dorénavant fixé une semaine sur deux du mercredi 18h00 au mardi suivant à la reprise de l'école. La mère ne travaillant pas le mercredi, ce qui n'était pas son cas, il était préférable qu'elle puisse s'occuper de l'enfant ce jour-là. Le Tribunal de protection, considérant que la mère ne s'était pas opposée au droit de visite proposé par le père lors de cette audience, sous réserve de l'heure de transfert le mercredi - et se fondant sur les résultats de l'expertise - a accédé aux conclusions du père. C'est toutefois à tort que le Tribunal de protection a considéré que la recourante avait accepté sans réserve un droit de visite aussi élargi, cette dernière ayant émis des réserves relatives au nombre de nuits chez le père que ce droit de visite impliquait, l'enfant n'y étant pas habitué. Aucun accord n'est intervenu à ce sujet, contrairement au partage des vacances scolaires qui a fait l'objet d'un consensus entre les parents, le Tribunal de protection n'ayant toutefois pas repris, pour une raison inconnue, l'accord trouvé par ces derniers concernant la prise en charge du mineur le</w:t>
      </w:r>
    </w:p>
    <w:p>
      <w:r>
        <w:rPr>
          <w:b/>
        </w:rPr>
        <w:t>E. 24</w:t>
      </w:r>
    </w:p>
    <w:p>
      <w:r>
        <w:t>décembre de chaque année par sa mère. Le Service de protection des mineurs, dans ses dernières recommandations du 22 août 2018, a quant à lui préconisé un droit de visite alterné, soit une semaine du mardi soir après l'école au jeudi matin à la reprise de l'école, puis la semaine suivante du jeudi soir après l'école au lundi matin à la reprise de l'école, ainsi que durant la moitié des vacances scolaires, sans autre examen. La recourante, dans son acte de recours, ne souhaite quant à elle plus qu'un élargissement du droit de visite à un week-end sur deux du vendredi soir à la sortie de l'école au dimanche soir 18h00, revenant sur la prise en charge du mardi soir, même actuelle, sans en exposer les motifs. L'intérêt du mineur, que les curateurs qualifient d'anxieux et qui est pris dans un conflit incessant entre ses parents concernant sa prise en charge, impose de fixer dorénavant un cadre clair et précis qui ne devrait pas être remis en cause sans raisons impérieuses et ce, pour la sérénité et le bon développement de</w:t>
      </w:r>
    </w:p>
    <w:p>
      <w:r>
        <w:t>- 13/16 -</w:t>
      </w:r>
    </w:p>
    <w:p>
      <w:r>
        <w:t>C/20321/2012-CS l'enfant. Ainsi, pour ramener un certain calme, il convient d'éviter que les parents ne se côtoient trop, afin de limiter les tensions relatives aux horaires de prise en charge et permettre ainsi à l'enfant de pouvoir profiter sereinement de chacun de ses parents, sans conflits stériles, nuisibles à sa santé. Le passage de l'enfant à l'école doit donc être privilégié. Par ailleurs, le droit de visite doit permettre au parent de s'occuper personnellement de l'enfant, ce qui ne semble pas être le cas si l'enfant est confié à son père le mercredi puisque ce dernier travaille tandis que sa mère est disponible pour l'accompagner à ses activités. L'enfant est habitué à voir son père chaque semaine et rien ne justifie que tel ne soit plus le cas, de sorte que la recourante ne saurait être suivie dans la suppression de tout contact en semaine. Toutefois, il semble prématuré de fixer un droit de visite trop large, à savoir plus de cinq jours d'affilé chez le père, comme le Tribunal de protection l'a fait, l'enfant n'y étant ni habitué, ni préparé et les conditions de son accueil sur une si longue période n'ayant pas été examinées par le Service de protection des mineurs, malgré la longueur de la procédure. Ainsi, au vu de l'ensemble du dossier et afin de tenir compte de l'évolution de la situation et du temps écoulé, la Chambre de céans fixera, dans l'intérêt du mineur, le droit de visite du père une semaine sur deux du mercredi 18h00 au jeudi retour à l'école, la semaine où le père ne bénéficie pas de droit de visite le week-end, et la semaine suivante du vendredi à la sortie de l'école au lundi matin retour à l'école, ce qui correspond à quelques modifications près à la demande initiale du père, soumise ab initio au Tribunal de protection. S'agissant des vacances scolaires, leur fixation par le Tribunal de protection ne soulève pas de critique de la part de la recourante, hormis le 24 décembre dont elle souhaite bénéficier chaque année, ce sur quoi les parents se sont déclarés d'accord lors de leur audition par le Tribunal de protection, accord qui n'a toutefois pas été repris dans l'ordonnance contestée. Le chiffre 1 dispositif de l'ordonnance querellée sera donc modifié dans le sens des considérants. 2.2.4 S'agissant des conclusions relatives à l'élargissement futur du droit de visite formulées par la recourante, qu'elle souhaite à l'avenir voir fixer selon un calendrier élaboré d'entente entre les curateurs et la pédopsychiatre de l'enfant, il n'y sera pas donné suite dès lors qu'il appartiendra à l'un ou l'autre des parents, sur la base de motifs sérieux, de solliciter une modification du droit de visite en temps opportun, ou aux curateurs de la suggérer si nécessaire, à charge au Tribunal de protection, saisi d'une nouvelle demande, de l'analyser à l'aune des éléments en sa possession. Cette conclusion, non formulée en première instance, ne fait au demeurant pas l'objet de l'ordonnance contestée, étant précisé que la Cour, qui statue sur recours, n'est au surplus pas compétente pour en connaître.</w:t>
      </w:r>
    </w:p>
    <w:p>
      <w:r>
        <w:t>- 14/16 -</w:t>
      </w:r>
    </w:p>
    <w:p>
      <w:r>
        <w:t>C/20321/2012-CS 2.2.5 La recourante conteste la limitation de la fréquence des relations téléphoniques avec le parent qui n'a pas la garde de l'enfant à une ou deux par semaine, pour les voir fixer à trois au minimum. Elle relève que le Tribunal de protection s'est basé sur un état de fait erroné en considérant qu'elle transmettait ses angoisses au mineur. Elle oublie cependant que cette limitation est également valable pour le père. Elle n'expose par ailleurs pas en quoi un nombre de contacts téléphoniques plus élevé serait dans l'intérêt du mineur, de sorte que son grief sera rejeté. 2.2.6 La recourante souhaite encore que le père qui s'est déclaré d'accord d'effectuer un test capillaire, ce dont il lui a été donné acte, y soit condamné, et veut qu'il soit encore astreint, sur une période qu'elle ne précise pas, à effectuer des tests sanguins et capillaires et à en communiquer le résultat à elle-même et au Service de protection des mineurs. Cette conclusion nouvelle, non formulée en première instance, et dont la recourante ne tire aucune conséquence sur le droit de visite, sera déclarée irrecevable. 3. La recourante conclut à ce qu'il lui soit donné acte de ce qu'elle a déjà organisé le suivi pédopsychiatrique de l'enfant, ainsi que son propre suivi psycho- thérapeutique, et de ce qu'elle a déjà délié le médecin du secret médical à l'égard des curateurs du mineur. Elle reprend, pour le surplus, le dispositif de l'ordonnance du Tribunal de protection qu'elle fait sien. 3.1 Comme toute autre voie de droit, le recours prévu par l'art. 450 CC suppose un intérêt actuel et digne de protection du recourant (art. 59 al. 2 let. a CPC; l'art. 31 al. 1 let. d LaCC; DROESE/STECK, Zivilgesetzbuch I (Basler Kommentar), 2018, GEISER/FOUNTOULAKIS, n. 27a ad art. 450). 3.2 La recourante ne dispose d'aucun intérêt digne de protection à se voir donner acte de ce qu'elle a déjà effectué certaines démarches, qu'elle s'était déclarée d'accord d'accomplir devant le premier juge. Ses conclusions sont donc irrecevables, à cet égard. 4. La procédure qui porte sur la question des relations personnelles n'est pas gratuite (art. 19 LaCC; art. 67B du Règlement fixant le tarif des frais en matière civile). Les frais judiciaires seront fixés à 800 fr., partiellement compensés avec l'avance effectuée par la recourante qui reste acquise à l'Etat et mis à la charge des parties par moitié, vu l'issue du litige. B______ sera donc condamné à verser la somme de 400 fr. aux Services financiers du Pouvoir judiciaire. Il n 'est pas alloué de dépens, vu la nature du litige. * * * * *</w:t>
      </w:r>
    </w:p>
    <w:p>
      <w:r>
        <w:t>- 15/16 -</w:t>
      </w:r>
    </w:p>
    <w:p>
      <w:r>
        <w:t>C/20321/2012-CS PAR CES MOTIFS, La Chambre de surveillance : A la forme : Déclare recevable le recours formé le 28 décembre 2018 par A______ contre l'ordonnance DTAE/6952/2018, rendue par le Tribunal de protection de l'adulte et de l'enfant le 25 septembre 2018 dans la cause C/20321/2012-9. Au fond : L'admet partiellement et cela fait, statuant à nouveau : Modifie le chiffre 1 du dispositif de l'ordonnance. Fixe le droit de visite de B______ sur son fils E______, né le ______ 2012, une semaine sur deux, soit la semaine où il ne bénéficie pas du droit de visite le week-end, du mercredi 18h00 au jeudi matin retour à l'école et, la semaine suivante, du vendredi à la sortie de l'école au lundi matin retour à l'école. Confirme le droit de visite durant les vacances scolaires tel que fixé au chiffre 1 du dispositif de l'ordonnance, à l'exclusion du jour du 24 décembre de chaque année, qui sera attribué à A______. Confirme l'ordonnance pour le surplus. Déboute les parties de toutes autres conclusions. Sur les frais : Arrête les frais judiciaires à 800 fr. et les compense partiellement avec l'avance effectuée, qui reste à acquise à l'Etat de Genève. Dit que les frais judiciaires sont mis par moitié à charge de chacune des parties. Condamne en conséquence B______ à verser la somme de 400 fr. aux Services financiers du Pouvoir judiciaire. Dit qu'il n'est pas alloué de dépens. Siégeant : Monsieur Cédric-Laurent MICHEL, président; Mesdames Paola CAMPOMAGNANI et Jocelyne DEVILLE-CHAVANNE, juges; Madame Carmen FRAGA, greffière.</w:t>
      </w:r>
    </w:p>
    <w:p>
      <w:r>
        <w:t>- 16/16 -</w:t>
      </w:r>
    </w:p>
    <w:p>
      <w:r>
        <w:t>C/20321/2012-CS Indication des voies de recours :</w:t>
      </w:r>
    </w:p>
    <w:p>
      <w:r>
        <w:t>Conformément aux art. 72 ss de la loi fédérale sur le Tribunal fédéral du 17 juin 2005 (LTF :RS. 173. 110), la présente décision peut être portée dans les trente jours qui suivent sa notification avec expédition complète (art. 100 al. 1 LTF) par-devant le Tribunal fédéral par la voie du recours en matière civile.</w:t>
      </w:r>
    </w:p>
    <w:p>
      <w:r>
        <w:t>Le recours doit être adressé au Tribunal fédé1ral,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